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bookmarkStart w:id="0" w:name="_GoBack"/>
      <w:bookmarkEnd w:id="0"/>
      <w:r>
        <w:rPr>
          <w:rFonts w:hint="eastAsia" w:ascii="方正小标宋简体" w:eastAsia="方正小标宋简体"/>
          <w:sz w:val="44"/>
          <w:szCs w:val="44"/>
          <w:lang w:eastAsia="zh-CN"/>
        </w:rPr>
        <w:t>苏州市农业农村局</w:t>
      </w:r>
      <w:r>
        <w:rPr>
          <w:rFonts w:hint="eastAsia" w:ascii="方正小标宋简体" w:eastAsia="方正小标宋简体"/>
          <w:sz w:val="44"/>
          <w:szCs w:val="44"/>
        </w:rPr>
        <w:t>企业行政合规指导清单</w:t>
      </w:r>
    </w:p>
    <w:p>
      <w:pPr>
        <w:rPr>
          <w:rFonts w:hint="default" w:eastAsia="宋体"/>
          <w:sz w:val="28"/>
          <w:szCs w:val="28"/>
          <w:lang w:val="en-US" w:eastAsia="zh-CN"/>
        </w:rPr>
      </w:pPr>
      <w:r>
        <w:rPr>
          <w:rFonts w:hint="eastAsia"/>
          <w:sz w:val="28"/>
          <w:szCs w:val="28"/>
          <w:lang w:val="en-US" w:eastAsia="zh-CN"/>
        </w:rPr>
        <w:t>适用于农业投入品生产经营/水生野生动物经营企业</w:t>
      </w:r>
    </w:p>
    <w:tbl>
      <w:tblPr>
        <w:tblStyle w:val="3"/>
        <w:tblW w:w="14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836"/>
        <w:gridCol w:w="2310"/>
        <w:gridCol w:w="5430"/>
        <w:gridCol w:w="1215"/>
        <w:gridCol w:w="163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noWrap w:val="0"/>
            <w:vAlign w:val="center"/>
          </w:tcPr>
          <w:p>
            <w:pPr>
              <w:jc w:val="center"/>
              <w:rPr>
                <w:rFonts w:ascii="黑体" w:hAnsi="黑体" w:eastAsia="黑体"/>
                <w:kern w:val="0"/>
                <w:sz w:val="24"/>
              </w:rPr>
            </w:pPr>
            <w:r>
              <w:rPr>
                <w:rFonts w:hint="eastAsia" w:ascii="黑体" w:hAnsi="黑体" w:eastAsia="黑体"/>
                <w:kern w:val="0"/>
                <w:sz w:val="24"/>
              </w:rPr>
              <w:t>序号</w:t>
            </w:r>
          </w:p>
        </w:tc>
        <w:tc>
          <w:tcPr>
            <w:tcW w:w="1836" w:type="dxa"/>
            <w:noWrap w:val="0"/>
            <w:vAlign w:val="center"/>
          </w:tcPr>
          <w:p>
            <w:pPr>
              <w:jc w:val="center"/>
              <w:rPr>
                <w:rFonts w:ascii="黑体" w:hAnsi="黑体" w:eastAsia="黑体"/>
                <w:kern w:val="0"/>
                <w:sz w:val="24"/>
              </w:rPr>
            </w:pPr>
            <w:r>
              <w:rPr>
                <w:rFonts w:hint="eastAsia" w:ascii="黑体" w:hAnsi="黑体" w:eastAsia="黑体"/>
                <w:kern w:val="0"/>
                <w:sz w:val="24"/>
              </w:rPr>
              <w:t>行政合规事项</w:t>
            </w:r>
          </w:p>
        </w:tc>
        <w:tc>
          <w:tcPr>
            <w:tcW w:w="2310" w:type="dxa"/>
            <w:noWrap w:val="0"/>
            <w:vAlign w:val="center"/>
          </w:tcPr>
          <w:p>
            <w:pPr>
              <w:jc w:val="center"/>
              <w:rPr>
                <w:rFonts w:ascii="黑体" w:hAnsi="黑体" w:eastAsia="黑体"/>
                <w:kern w:val="0"/>
                <w:sz w:val="24"/>
              </w:rPr>
            </w:pPr>
            <w:r>
              <w:rPr>
                <w:rFonts w:hint="eastAsia" w:ascii="黑体" w:hAnsi="黑体" w:eastAsia="黑体"/>
                <w:kern w:val="0"/>
                <w:sz w:val="24"/>
              </w:rPr>
              <w:t>常见违法行为表现</w:t>
            </w:r>
          </w:p>
        </w:tc>
        <w:tc>
          <w:tcPr>
            <w:tcW w:w="5430" w:type="dxa"/>
            <w:noWrap w:val="0"/>
            <w:vAlign w:val="center"/>
          </w:tcPr>
          <w:p>
            <w:pPr>
              <w:jc w:val="center"/>
              <w:rPr>
                <w:rFonts w:ascii="黑体" w:hAnsi="黑体" w:eastAsia="黑体"/>
                <w:kern w:val="0"/>
                <w:sz w:val="24"/>
              </w:rPr>
            </w:pPr>
            <w:r>
              <w:rPr>
                <w:rFonts w:hAnsi="黑体" w:eastAsia="黑体"/>
                <w:kern w:val="0"/>
                <w:sz w:val="24"/>
              </w:rPr>
              <w:t>法律依据及违法责任</w:t>
            </w:r>
          </w:p>
        </w:tc>
        <w:tc>
          <w:tcPr>
            <w:tcW w:w="1215" w:type="dxa"/>
            <w:noWrap w:val="0"/>
            <w:vAlign w:val="center"/>
          </w:tcPr>
          <w:p>
            <w:pPr>
              <w:jc w:val="center"/>
              <w:rPr>
                <w:rFonts w:ascii="黑体" w:hAnsi="黑体" w:eastAsia="黑体"/>
                <w:kern w:val="0"/>
                <w:sz w:val="24"/>
              </w:rPr>
            </w:pPr>
            <w:r>
              <w:rPr>
                <w:rFonts w:hint="eastAsia" w:ascii="黑体" w:hAnsi="黑体" w:eastAsia="黑体"/>
                <w:kern w:val="0"/>
                <w:sz w:val="24"/>
              </w:rPr>
              <w:t>风险等级</w:t>
            </w:r>
          </w:p>
        </w:tc>
        <w:tc>
          <w:tcPr>
            <w:tcW w:w="1635" w:type="dxa"/>
            <w:noWrap w:val="0"/>
            <w:vAlign w:val="center"/>
          </w:tcPr>
          <w:p>
            <w:pPr>
              <w:jc w:val="center"/>
              <w:rPr>
                <w:rFonts w:ascii="黑体" w:hAnsi="黑体" w:eastAsia="黑体"/>
                <w:kern w:val="0"/>
                <w:sz w:val="24"/>
              </w:rPr>
            </w:pPr>
            <w:r>
              <w:rPr>
                <w:rFonts w:hint="eastAsia" w:ascii="黑体" w:hAnsi="黑体" w:eastAsia="黑体"/>
                <w:kern w:val="0"/>
                <w:sz w:val="24"/>
              </w:rPr>
              <w:t>合规建议</w:t>
            </w:r>
          </w:p>
        </w:tc>
        <w:tc>
          <w:tcPr>
            <w:tcW w:w="1231" w:type="dxa"/>
            <w:noWrap w:val="0"/>
            <w:vAlign w:val="center"/>
          </w:tcPr>
          <w:p>
            <w:pPr>
              <w:jc w:val="center"/>
              <w:rPr>
                <w:rFonts w:ascii="黑体" w:hAnsi="黑体" w:eastAsia="黑体"/>
                <w:kern w:val="0"/>
                <w:sz w:val="24"/>
              </w:rPr>
            </w:pPr>
            <w:r>
              <w:rPr>
                <w:rFonts w:hint="eastAsia" w:ascii="黑体" w:hAnsi="黑体" w:eastAsia="黑体"/>
                <w:kern w:val="0"/>
                <w:sz w:val="24"/>
              </w:rPr>
              <w:t>指导部门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noWrap w:val="0"/>
            <w:vAlign w:val="center"/>
          </w:tcPr>
          <w:p>
            <w:pPr>
              <w:jc w:val="center"/>
              <w:rPr>
                <w:rFonts w:hint="eastAsia" w:ascii="宋体" w:hAnsi="宋体"/>
                <w:kern w:val="0"/>
                <w:sz w:val="24"/>
                <w:szCs w:val="24"/>
              </w:rPr>
            </w:pPr>
            <w:r>
              <w:rPr>
                <w:rFonts w:hint="eastAsia" w:ascii="宋体" w:hAnsi="宋体"/>
                <w:kern w:val="0"/>
                <w:sz w:val="24"/>
                <w:szCs w:val="24"/>
              </w:rPr>
              <w:t>1</w:t>
            </w:r>
          </w:p>
        </w:tc>
        <w:tc>
          <w:tcPr>
            <w:tcW w:w="1836" w:type="dxa"/>
            <w:noWrap w:val="0"/>
            <w:vAlign w:val="center"/>
          </w:tcPr>
          <w:p>
            <w:pPr>
              <w:overflowPunct w:val="0"/>
              <w:autoSpaceDE w:val="0"/>
              <w:autoSpaceDN w:val="0"/>
              <w:rPr>
                <w:rFonts w:ascii="宋体" w:hAnsi="宋体"/>
                <w:kern w:val="0"/>
                <w:sz w:val="24"/>
                <w:szCs w:val="24"/>
              </w:rPr>
            </w:pPr>
            <w:r>
              <w:rPr>
                <w:rFonts w:hint="eastAsia" w:ascii="宋体" w:hAnsi="宋体"/>
                <w:kern w:val="0"/>
                <w:sz w:val="24"/>
                <w:szCs w:val="24"/>
              </w:rPr>
              <w:t>农药经营门店售卖的农药应是依法取得农药登记证而生产的农药</w:t>
            </w:r>
          </w:p>
        </w:tc>
        <w:tc>
          <w:tcPr>
            <w:tcW w:w="2310" w:type="dxa"/>
            <w:noWrap w:val="0"/>
            <w:vAlign w:val="center"/>
          </w:tcPr>
          <w:p>
            <w:pPr>
              <w:overflowPunct w:val="0"/>
              <w:autoSpaceDE w:val="0"/>
              <w:autoSpaceDN w:val="0"/>
              <w:rPr>
                <w:rFonts w:hAnsi="宋体"/>
                <w:kern w:val="0"/>
                <w:sz w:val="24"/>
                <w:szCs w:val="24"/>
              </w:rPr>
            </w:pPr>
            <w:r>
              <w:rPr>
                <w:rFonts w:hint="eastAsia" w:hAnsi="宋体"/>
                <w:kern w:val="0"/>
                <w:sz w:val="24"/>
                <w:szCs w:val="24"/>
              </w:rPr>
              <w:t>经营单位经营无农药登记证的卫生用杀虫剂</w:t>
            </w:r>
          </w:p>
        </w:tc>
        <w:tc>
          <w:tcPr>
            <w:tcW w:w="5430" w:type="dxa"/>
            <w:noWrap w:val="0"/>
            <w:vAlign w:val="center"/>
          </w:tcPr>
          <w:p>
            <w:pPr>
              <w:overflowPunct w:val="0"/>
              <w:autoSpaceDE w:val="0"/>
              <w:autoSpaceDN w:val="0"/>
              <w:ind w:firstLine="480" w:firstLineChars="200"/>
              <w:rPr>
                <w:rFonts w:hint="eastAsia"/>
                <w:kern w:val="0"/>
                <w:sz w:val="24"/>
                <w:szCs w:val="24"/>
              </w:rPr>
            </w:pPr>
            <w:r>
              <w:rPr>
                <w:rFonts w:hint="eastAsia"/>
                <w:kern w:val="0"/>
                <w:sz w:val="24"/>
                <w:szCs w:val="24"/>
              </w:rPr>
              <w:t>【法律法规】《农药管理条例》第二条第二款第五项“前款规定的农药包括用于不同目的、场所的下列各类：预防、控制蚊、蝇、蜚蠊、鼠和其他有害生物”；</w:t>
            </w:r>
          </w:p>
          <w:p>
            <w:pPr>
              <w:overflowPunct w:val="0"/>
              <w:autoSpaceDE w:val="0"/>
              <w:autoSpaceDN w:val="0"/>
              <w:ind w:firstLine="480" w:firstLineChars="200"/>
              <w:rPr>
                <w:rFonts w:hint="eastAsia"/>
                <w:kern w:val="0"/>
                <w:sz w:val="24"/>
                <w:szCs w:val="24"/>
              </w:rPr>
            </w:pPr>
            <w:r>
              <w:rPr>
                <w:rFonts w:hint="eastAsia"/>
                <w:kern w:val="0"/>
                <w:sz w:val="24"/>
                <w:szCs w:val="24"/>
              </w:rPr>
              <w:t>《农药管理条例》第七条第一款“国家实行农药登记制度。农药生产企业、向中国出口农药的企业应当依照本条例的规定申请农药登记，新农药研制者可以依照本条例的规定申请农药登记”；</w:t>
            </w:r>
          </w:p>
          <w:p>
            <w:pPr>
              <w:overflowPunct w:val="0"/>
              <w:autoSpaceDE w:val="0"/>
              <w:autoSpaceDN w:val="0"/>
              <w:ind w:firstLine="480" w:firstLineChars="200"/>
              <w:rPr>
                <w:rFonts w:hint="eastAsia"/>
                <w:kern w:val="0"/>
                <w:sz w:val="24"/>
                <w:szCs w:val="24"/>
              </w:rPr>
            </w:pPr>
            <w:r>
              <w:rPr>
                <w:rFonts w:hint="eastAsia"/>
                <w:kern w:val="0"/>
                <w:sz w:val="24"/>
                <w:szCs w:val="24"/>
              </w:rPr>
              <w:t>《农药管理条例》第四十四条第二款“禁用的农药，未依法取得农药登记证而生产、进口的农药，以及未附具标签的农药，按照假农药处理”。</w:t>
            </w:r>
          </w:p>
          <w:p>
            <w:pPr>
              <w:overflowPunct w:val="0"/>
              <w:autoSpaceDE w:val="0"/>
              <w:autoSpaceDN w:val="0"/>
              <w:ind w:firstLine="480" w:firstLineChars="200"/>
              <w:rPr>
                <w:kern w:val="0"/>
                <w:sz w:val="24"/>
                <w:szCs w:val="24"/>
              </w:rPr>
            </w:pPr>
            <w:r>
              <w:rPr>
                <w:rFonts w:hint="eastAsia"/>
                <w:kern w:val="0"/>
                <w:sz w:val="24"/>
                <w:szCs w:val="24"/>
              </w:rPr>
              <w:t>【违法责任】《农药管理条例》第五十五条第一款第二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经营假农药”。</w:t>
            </w:r>
          </w:p>
        </w:tc>
        <w:tc>
          <w:tcPr>
            <w:tcW w:w="1215" w:type="dxa"/>
            <w:noWrap w:val="0"/>
            <w:vAlign w:val="center"/>
          </w:tcPr>
          <w:p>
            <w:pPr>
              <w:overflowPunct w:val="0"/>
              <w:autoSpaceDE w:val="0"/>
              <w:autoSpaceDN w:val="0"/>
              <w:spacing w:line="320" w:lineRule="exact"/>
              <w:jc w:val="center"/>
              <w:rPr>
                <w:kern w:val="0"/>
                <w:sz w:val="24"/>
                <w:szCs w:val="24"/>
              </w:rPr>
            </w:pPr>
            <w:r>
              <w:rPr>
                <w:rFonts w:hint="eastAsia" w:ascii="宋体" w:hAnsi="宋体"/>
                <w:b/>
                <w:kern w:val="0"/>
                <w:sz w:val="24"/>
                <w:szCs w:val="24"/>
              </w:rPr>
              <w:t>★</w:t>
            </w:r>
          </w:p>
        </w:tc>
        <w:tc>
          <w:tcPr>
            <w:tcW w:w="1635" w:type="dxa"/>
            <w:noWrap w:val="0"/>
            <w:vAlign w:val="center"/>
          </w:tcPr>
          <w:p>
            <w:pPr>
              <w:rPr>
                <w:rFonts w:hint="eastAsia" w:ascii="宋体" w:hAnsi="宋体"/>
                <w:kern w:val="0"/>
                <w:sz w:val="24"/>
                <w:szCs w:val="24"/>
              </w:rPr>
            </w:pPr>
            <w:r>
              <w:rPr>
                <w:rFonts w:hint="eastAsia" w:ascii="宋体" w:hAnsi="宋体"/>
                <w:kern w:val="0"/>
                <w:sz w:val="24"/>
                <w:szCs w:val="24"/>
              </w:rPr>
              <w:t>经营者采购卫生杀虫剂等农药时，需仔细查看标签上的农药登记证号，或是登陆“中国农药信息网”（http://www.chinapesticide.org.cn/）查询生产商家是否具取得农药登记证，确保进货产品合法合规</w:t>
            </w:r>
          </w:p>
        </w:tc>
        <w:tc>
          <w:tcPr>
            <w:tcW w:w="1231" w:type="dxa"/>
            <w:noWrap w:val="0"/>
            <w:vAlign w:val="center"/>
          </w:tcPr>
          <w:p>
            <w:pPr>
              <w:rPr>
                <w:rFonts w:hint="eastAsia" w:ascii="宋体" w:hAnsi="宋体"/>
                <w:kern w:val="0"/>
                <w:sz w:val="24"/>
                <w:szCs w:val="24"/>
              </w:rPr>
            </w:pPr>
            <w:r>
              <w:rPr>
                <w:rFonts w:hint="eastAsia" w:ascii="宋体" w:hAnsi="宋体"/>
                <w:kern w:val="0"/>
                <w:sz w:val="24"/>
                <w:szCs w:val="24"/>
              </w:rPr>
              <w:t>苏州市农业综合行政执法支队执法协调科65851578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611" w:type="dxa"/>
            <w:noWrap w:val="0"/>
            <w:vAlign w:val="center"/>
          </w:tcPr>
          <w:p>
            <w:pPr>
              <w:jc w:val="center"/>
              <w:rPr>
                <w:rFonts w:hint="eastAsia" w:ascii="宋体" w:hAnsi="宋体" w:eastAsia="宋体"/>
                <w:kern w:val="0"/>
                <w:sz w:val="24"/>
                <w:szCs w:val="24"/>
                <w:lang w:eastAsia="zh-CN"/>
              </w:rPr>
            </w:pPr>
            <w:r>
              <w:rPr>
                <w:rFonts w:hint="eastAsia" w:ascii="宋体" w:hAnsi="宋体"/>
                <w:kern w:val="0"/>
                <w:sz w:val="24"/>
                <w:szCs w:val="24"/>
                <w:lang w:val="en-US" w:eastAsia="zh-CN"/>
              </w:rPr>
              <w:t>2</w:t>
            </w:r>
          </w:p>
        </w:tc>
        <w:tc>
          <w:tcPr>
            <w:tcW w:w="1836"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兽药生产企业要取得产品批准文号；经营者应当申领兽药经营许可证</w:t>
            </w:r>
          </w:p>
        </w:tc>
        <w:tc>
          <w:tcPr>
            <w:tcW w:w="2310"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未经批准生产兽药、无兽药经营许可证经营兽药</w:t>
            </w:r>
          </w:p>
        </w:tc>
        <w:tc>
          <w:tcPr>
            <w:tcW w:w="5430" w:type="dxa"/>
            <w:noWrap w:val="0"/>
            <w:vAlign w:val="center"/>
          </w:tcPr>
          <w:p>
            <w:pPr>
              <w:overflowPunct w:val="0"/>
              <w:autoSpaceDE w:val="0"/>
              <w:autoSpaceDN w:val="0"/>
              <w:ind w:firstLine="480" w:firstLineChars="200"/>
              <w:rPr>
                <w:rFonts w:hint="eastAsia"/>
                <w:kern w:val="0"/>
                <w:sz w:val="24"/>
                <w:szCs w:val="24"/>
                <w:lang w:val="en-US" w:eastAsia="zh-CN"/>
              </w:rPr>
            </w:pPr>
            <w:r>
              <w:rPr>
                <w:rFonts w:hint="eastAsia"/>
                <w:kern w:val="0"/>
                <w:sz w:val="24"/>
                <w:szCs w:val="24"/>
                <w:lang w:val="en-US" w:eastAsia="zh-CN"/>
              </w:rPr>
              <w:t>【法律法规】《兽药管理条例》第十五条“兽药生产企业生产兽药，应当取得国务院兽医行政管理部门核发的产品批准文号，产品批准文号的有效期为5年”；《兽药管理条例》第二十二条第二款“符合前款规定条件的，申请人方可向市、县人民政府兽医行政管理部门提出申请，并附具符合前款规定条件的证明材料”。</w:t>
            </w:r>
          </w:p>
          <w:p>
            <w:pPr>
              <w:overflowPunct w:val="0"/>
              <w:autoSpaceDE w:val="0"/>
              <w:autoSpaceDN w:val="0"/>
              <w:ind w:firstLine="480" w:firstLineChars="200"/>
              <w:rPr>
                <w:rFonts w:hint="eastAsia"/>
                <w:kern w:val="0"/>
                <w:sz w:val="24"/>
                <w:szCs w:val="24"/>
                <w:lang w:val="en-US" w:eastAsia="zh-CN"/>
              </w:rPr>
            </w:pPr>
            <w:r>
              <w:rPr>
                <w:rFonts w:hint="eastAsia"/>
                <w:kern w:val="0"/>
                <w:sz w:val="24"/>
                <w:szCs w:val="24"/>
                <w:lang w:val="en-US" w:eastAsia="zh-CN"/>
              </w:rPr>
              <w:t>【违法责任】《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1215" w:type="dxa"/>
            <w:noWrap w:val="0"/>
            <w:vAlign w:val="center"/>
          </w:tcPr>
          <w:p>
            <w:pPr>
              <w:overflowPunct w:val="0"/>
              <w:autoSpaceDE w:val="0"/>
              <w:autoSpaceDN w:val="0"/>
              <w:jc w:val="center"/>
              <w:rPr>
                <w:rFonts w:hint="eastAsia"/>
                <w:kern w:val="0"/>
                <w:sz w:val="24"/>
                <w:szCs w:val="24"/>
                <w:lang w:val="en-US" w:eastAsia="zh-CN"/>
              </w:rPr>
            </w:pPr>
            <w:r>
              <w:rPr>
                <w:rFonts w:hint="eastAsia"/>
                <w:kern w:val="0"/>
                <w:sz w:val="24"/>
                <w:szCs w:val="24"/>
                <w:lang w:val="en-US" w:eastAsia="zh-CN"/>
              </w:rPr>
              <w:t>★</w:t>
            </w:r>
          </w:p>
        </w:tc>
        <w:tc>
          <w:tcPr>
            <w:tcW w:w="1635"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兽药生产企业要取得产品批准文号；经营者应当申领兽药经营许可证</w:t>
            </w:r>
          </w:p>
        </w:tc>
        <w:tc>
          <w:tcPr>
            <w:tcW w:w="1231" w:type="dxa"/>
            <w:noWrap w:val="0"/>
            <w:vAlign w:val="center"/>
          </w:tcPr>
          <w:p>
            <w:pPr>
              <w:overflowPunct w:val="0"/>
              <w:autoSpaceDE w:val="0"/>
              <w:autoSpaceDN w:val="0"/>
              <w:rPr>
                <w:rFonts w:hint="eastAsia"/>
                <w:kern w:val="0"/>
                <w:sz w:val="24"/>
                <w:szCs w:val="24"/>
              </w:rPr>
            </w:pPr>
            <w:r>
              <w:rPr>
                <w:rFonts w:hint="eastAsia"/>
                <w:kern w:val="0"/>
                <w:sz w:val="24"/>
                <w:szCs w:val="24"/>
                <w:lang w:val="en-US" w:eastAsia="zh-CN"/>
              </w:rPr>
              <w:t>苏州市农业综合行政执法支队执法协调科</w:t>
            </w:r>
            <w:r>
              <w:rPr>
                <w:rFonts w:hint="eastAsia" w:ascii="宋体" w:hAnsi="宋体"/>
                <w:kern w:val="0"/>
                <w:sz w:val="24"/>
                <w:szCs w:val="24"/>
                <w:lang w:val="en-US" w:eastAsia="zh-CN"/>
              </w:rPr>
              <w:t>65851578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11" w:type="dxa"/>
            <w:noWrap w:val="0"/>
            <w:vAlign w:val="center"/>
          </w:tcPr>
          <w:p>
            <w:pPr>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3</w:t>
            </w:r>
          </w:p>
        </w:tc>
        <w:tc>
          <w:tcPr>
            <w:tcW w:w="1836"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肥料生产、经营单位生产或销售的肥料有效成分含量须与登记批准的内容相符</w:t>
            </w:r>
          </w:p>
        </w:tc>
        <w:tc>
          <w:tcPr>
            <w:tcW w:w="2310"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肥料有效成分含量与登记批准内容不符</w:t>
            </w:r>
          </w:p>
        </w:tc>
        <w:tc>
          <w:tcPr>
            <w:tcW w:w="5430" w:type="dxa"/>
            <w:noWrap w:val="0"/>
            <w:vAlign w:val="center"/>
          </w:tcPr>
          <w:p>
            <w:pPr>
              <w:overflowPunct w:val="0"/>
              <w:autoSpaceDE w:val="0"/>
              <w:autoSpaceDN w:val="0"/>
              <w:ind w:firstLine="480" w:firstLineChars="200"/>
              <w:rPr>
                <w:rFonts w:hint="eastAsia"/>
                <w:kern w:val="0"/>
                <w:sz w:val="24"/>
                <w:szCs w:val="24"/>
                <w:lang w:val="en-US" w:eastAsia="zh-CN"/>
              </w:rPr>
            </w:pPr>
            <w:r>
              <w:rPr>
                <w:rFonts w:hint="eastAsia"/>
                <w:kern w:val="0"/>
                <w:sz w:val="24"/>
                <w:szCs w:val="24"/>
                <w:lang w:val="en-US" w:eastAsia="zh-CN"/>
              </w:rPr>
              <w:t>【法律法规及违法责任】《肥料登记管理办法》第二十六条第三项“有下列情形之一的，由县级以上农业行政主管部门给予警告，并处违法所得3倍以下罚款，但最高不得超过30000元；没有违法所得的，处10000元以下罚款：（三）生产、销售的肥料产品有效成分或含量与登记批准的内容不符的”。</w:t>
            </w:r>
          </w:p>
        </w:tc>
        <w:tc>
          <w:tcPr>
            <w:tcW w:w="1215" w:type="dxa"/>
            <w:noWrap w:val="0"/>
            <w:vAlign w:val="center"/>
          </w:tcPr>
          <w:p>
            <w:pPr>
              <w:overflowPunct w:val="0"/>
              <w:autoSpaceDE w:val="0"/>
              <w:autoSpaceDN w:val="0"/>
              <w:jc w:val="center"/>
              <w:rPr>
                <w:rFonts w:hint="eastAsia"/>
                <w:kern w:val="0"/>
                <w:sz w:val="24"/>
                <w:szCs w:val="24"/>
              </w:rPr>
            </w:pPr>
            <w:r>
              <w:rPr>
                <w:rFonts w:hint="eastAsia"/>
                <w:kern w:val="0"/>
                <w:sz w:val="24"/>
                <w:szCs w:val="24"/>
                <w:lang w:val="en-US" w:eastAsia="zh-CN"/>
              </w:rPr>
              <w:t>★</w:t>
            </w:r>
          </w:p>
        </w:tc>
        <w:tc>
          <w:tcPr>
            <w:tcW w:w="1635" w:type="dxa"/>
            <w:noWrap w:val="0"/>
            <w:vAlign w:val="center"/>
          </w:tcPr>
          <w:p>
            <w:pPr>
              <w:overflowPunct w:val="0"/>
              <w:autoSpaceDE w:val="0"/>
              <w:autoSpaceDN w:val="0"/>
              <w:rPr>
                <w:rFonts w:hint="eastAsia"/>
                <w:kern w:val="0"/>
                <w:sz w:val="24"/>
                <w:szCs w:val="24"/>
              </w:rPr>
            </w:pPr>
            <w:r>
              <w:rPr>
                <w:rFonts w:hint="eastAsia"/>
                <w:kern w:val="0"/>
                <w:sz w:val="24"/>
                <w:szCs w:val="24"/>
                <w:lang w:val="en-US" w:eastAsia="zh-CN"/>
              </w:rPr>
              <w:t>生产者应严格把控产品的生产质量，保证产品有效成分含量与批准内容相符；经营者应从正规渠道进货，最大限度确保进货产品的质量</w:t>
            </w:r>
          </w:p>
        </w:tc>
        <w:tc>
          <w:tcPr>
            <w:tcW w:w="1231" w:type="dxa"/>
            <w:noWrap w:val="0"/>
            <w:vAlign w:val="center"/>
          </w:tcPr>
          <w:p>
            <w:pPr>
              <w:overflowPunct w:val="0"/>
              <w:autoSpaceDE w:val="0"/>
              <w:autoSpaceDN w:val="0"/>
              <w:rPr>
                <w:rFonts w:hint="eastAsia"/>
                <w:kern w:val="0"/>
                <w:sz w:val="24"/>
                <w:szCs w:val="24"/>
              </w:rPr>
            </w:pPr>
            <w:r>
              <w:rPr>
                <w:rFonts w:hint="eastAsia"/>
                <w:kern w:val="0"/>
                <w:sz w:val="24"/>
                <w:szCs w:val="24"/>
                <w:lang w:val="en-US" w:eastAsia="zh-CN"/>
              </w:rPr>
              <w:t>苏州市农业综合行政执法支队执法协调科</w:t>
            </w:r>
            <w:r>
              <w:rPr>
                <w:rFonts w:hint="eastAsia" w:ascii="宋体" w:hAnsi="宋体"/>
                <w:kern w:val="0"/>
                <w:sz w:val="24"/>
                <w:szCs w:val="24"/>
                <w:lang w:val="en-US" w:eastAsia="zh-CN"/>
              </w:rPr>
              <w:t>65851578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11" w:type="dxa"/>
            <w:noWrap w:val="0"/>
            <w:vAlign w:val="center"/>
          </w:tcPr>
          <w:p>
            <w:pPr>
              <w:keepNext w:val="0"/>
              <w:keepLines w:val="0"/>
              <w:widowControl/>
              <w:suppressLineNumbers w:val="0"/>
              <w:jc w:val="center"/>
              <w:textAlignment w:val="center"/>
              <w:rPr>
                <w:rFonts w:hint="eastAsia" w:ascii="宋体" w:hAnsi="宋体"/>
                <w:kern w:val="0"/>
                <w:sz w:val="24"/>
                <w:szCs w:val="24"/>
              </w:rPr>
            </w:pPr>
            <w:r>
              <w:rPr>
                <w:rFonts w:hint="eastAsia" w:ascii="仿宋_GB2312" w:hAnsi="宋体" w:eastAsia="仿宋_GB2312" w:cs="仿宋_GB2312"/>
                <w:i w:val="0"/>
                <w:color w:val="000000"/>
                <w:kern w:val="0"/>
                <w:sz w:val="24"/>
                <w:szCs w:val="24"/>
                <w:u w:val="none"/>
                <w:lang w:val="en-US" w:eastAsia="zh-CN" w:bidi="ar"/>
              </w:rPr>
              <w:t>4</w:t>
            </w:r>
          </w:p>
        </w:tc>
        <w:tc>
          <w:tcPr>
            <w:tcW w:w="1836" w:type="dxa"/>
            <w:noWrap w:val="0"/>
            <w:vAlign w:val="center"/>
          </w:tcPr>
          <w:p>
            <w:pPr>
              <w:overflowPunct w:val="0"/>
              <w:autoSpaceDE w:val="0"/>
              <w:autoSpaceDN w:val="0"/>
              <w:rPr>
                <w:rFonts w:hint="eastAsia"/>
                <w:kern w:val="0"/>
                <w:sz w:val="24"/>
                <w:szCs w:val="24"/>
              </w:rPr>
            </w:pPr>
            <w:r>
              <w:rPr>
                <w:rFonts w:hint="eastAsia"/>
                <w:kern w:val="0"/>
                <w:sz w:val="24"/>
                <w:szCs w:val="24"/>
                <w:lang w:val="en-US" w:eastAsia="zh-CN"/>
              </w:rPr>
              <w:t>饲料及饲料添加剂生产、经营单位生产或售卖的饲料及添加剂应与标签标示的内容一致</w:t>
            </w:r>
          </w:p>
        </w:tc>
        <w:tc>
          <w:tcPr>
            <w:tcW w:w="2310" w:type="dxa"/>
            <w:noWrap w:val="0"/>
            <w:vAlign w:val="center"/>
          </w:tcPr>
          <w:p>
            <w:pPr>
              <w:overflowPunct w:val="0"/>
              <w:autoSpaceDE w:val="0"/>
              <w:autoSpaceDN w:val="0"/>
              <w:rPr>
                <w:rFonts w:hint="eastAsia"/>
                <w:kern w:val="0"/>
                <w:sz w:val="24"/>
                <w:szCs w:val="24"/>
              </w:rPr>
            </w:pPr>
            <w:r>
              <w:rPr>
                <w:rFonts w:hint="eastAsia"/>
                <w:kern w:val="0"/>
                <w:sz w:val="24"/>
                <w:szCs w:val="24"/>
                <w:lang w:val="en-US" w:eastAsia="zh-CN"/>
              </w:rPr>
              <w:t>饲料及饲料添加剂中某些成分的含量与标签标注的不一致</w:t>
            </w:r>
          </w:p>
        </w:tc>
        <w:tc>
          <w:tcPr>
            <w:tcW w:w="5430" w:type="dxa"/>
            <w:noWrap w:val="0"/>
            <w:vAlign w:val="center"/>
          </w:tcPr>
          <w:p>
            <w:pPr>
              <w:overflowPunct w:val="0"/>
              <w:autoSpaceDE w:val="0"/>
              <w:autoSpaceDN w:val="0"/>
              <w:ind w:firstLine="480" w:firstLineChars="200"/>
              <w:rPr>
                <w:rFonts w:hint="eastAsia"/>
                <w:kern w:val="0"/>
                <w:sz w:val="24"/>
                <w:szCs w:val="24"/>
              </w:rPr>
            </w:pPr>
            <w:r>
              <w:rPr>
                <w:rFonts w:hint="eastAsia"/>
                <w:kern w:val="0"/>
                <w:sz w:val="24"/>
                <w:szCs w:val="24"/>
                <w:lang w:val="en-US" w:eastAsia="zh-CN"/>
              </w:rPr>
              <w:t>【法律法规及违法责任】《饲料和饲料添加剂管理条例》第四十六条第一款第三项“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三）生产、经营的饲料、饲料添加剂与标签标示的内容不一致的”。</w:t>
            </w:r>
          </w:p>
        </w:tc>
        <w:tc>
          <w:tcPr>
            <w:tcW w:w="1215" w:type="dxa"/>
            <w:noWrap w:val="0"/>
            <w:vAlign w:val="center"/>
          </w:tcPr>
          <w:p>
            <w:pPr>
              <w:overflowPunct w:val="0"/>
              <w:autoSpaceDE w:val="0"/>
              <w:autoSpaceDN w:val="0"/>
              <w:jc w:val="center"/>
              <w:rPr>
                <w:rFonts w:hint="eastAsia"/>
                <w:kern w:val="0"/>
                <w:sz w:val="24"/>
                <w:szCs w:val="24"/>
              </w:rPr>
            </w:pPr>
            <w:r>
              <w:rPr>
                <w:rFonts w:hint="eastAsia"/>
                <w:kern w:val="0"/>
                <w:sz w:val="24"/>
                <w:szCs w:val="24"/>
                <w:lang w:val="en-US" w:eastAsia="zh-CN"/>
              </w:rPr>
              <w:t>★</w:t>
            </w:r>
          </w:p>
        </w:tc>
        <w:tc>
          <w:tcPr>
            <w:tcW w:w="1635" w:type="dxa"/>
            <w:noWrap w:val="0"/>
            <w:vAlign w:val="center"/>
          </w:tcPr>
          <w:p>
            <w:pPr>
              <w:overflowPunct w:val="0"/>
              <w:autoSpaceDE w:val="0"/>
              <w:autoSpaceDN w:val="0"/>
              <w:rPr>
                <w:rFonts w:hint="eastAsia"/>
                <w:kern w:val="0"/>
                <w:sz w:val="24"/>
                <w:szCs w:val="24"/>
              </w:rPr>
            </w:pPr>
            <w:r>
              <w:rPr>
                <w:rFonts w:hint="eastAsia"/>
                <w:kern w:val="0"/>
                <w:sz w:val="24"/>
                <w:szCs w:val="24"/>
                <w:lang w:val="en-US" w:eastAsia="zh-CN"/>
              </w:rPr>
              <w:t>饲料及饲料添加剂生产者应严格把控产品生产质量，加强检测，出厂产品应与标签标示内容一致；经营者应从正规渠道进货，最大限度确保进货产品的质量</w:t>
            </w:r>
          </w:p>
        </w:tc>
        <w:tc>
          <w:tcPr>
            <w:tcW w:w="1231" w:type="dxa"/>
            <w:noWrap w:val="0"/>
            <w:vAlign w:val="center"/>
          </w:tcPr>
          <w:p>
            <w:pPr>
              <w:overflowPunct w:val="0"/>
              <w:autoSpaceDE w:val="0"/>
              <w:autoSpaceDN w:val="0"/>
              <w:rPr>
                <w:rFonts w:hint="eastAsia"/>
                <w:kern w:val="0"/>
                <w:sz w:val="24"/>
                <w:szCs w:val="24"/>
              </w:rPr>
            </w:pPr>
            <w:r>
              <w:rPr>
                <w:rFonts w:hint="eastAsia"/>
                <w:kern w:val="0"/>
                <w:sz w:val="24"/>
                <w:szCs w:val="24"/>
                <w:lang w:val="en-US" w:eastAsia="zh-CN"/>
              </w:rPr>
              <w:t>苏州市农业综合行政执法支队执法协调科</w:t>
            </w:r>
            <w:r>
              <w:rPr>
                <w:rFonts w:hint="eastAsia" w:ascii="宋体" w:hAnsi="宋体"/>
                <w:kern w:val="0"/>
                <w:sz w:val="24"/>
                <w:szCs w:val="24"/>
                <w:lang w:val="en-US" w:eastAsia="zh-CN"/>
              </w:rPr>
              <w:t>65851578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11"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5</w:t>
            </w:r>
          </w:p>
        </w:tc>
        <w:tc>
          <w:tcPr>
            <w:tcW w:w="1836"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出售、购买、利用国家重点保护动物及其制品需要办理《中华人民共和国水生野生动物经营利用许可证》</w:t>
            </w:r>
          </w:p>
        </w:tc>
        <w:tc>
          <w:tcPr>
            <w:tcW w:w="2310"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未经批准出售、购买、利用国家重点保护野生动物及其制品</w:t>
            </w:r>
          </w:p>
        </w:tc>
        <w:tc>
          <w:tcPr>
            <w:tcW w:w="5430"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法律法规】《中华人民共和国野生动物保护法》第二十七条第一款“禁止出售、购买、利用国家重点保护野生动物及其制品。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r>
              <w:rPr>
                <w:rFonts w:hint="eastAsia"/>
                <w:kern w:val="0"/>
                <w:sz w:val="24"/>
                <w:szCs w:val="24"/>
                <w:lang w:val="en-US" w:eastAsia="zh-CN"/>
              </w:rPr>
              <w:br w:type="textWrapping"/>
            </w:r>
            <w:r>
              <w:rPr>
                <w:rFonts w:hint="eastAsia"/>
                <w:kern w:val="0"/>
                <w:sz w:val="24"/>
                <w:szCs w:val="24"/>
                <w:lang w:val="en-US" w:eastAsia="zh-CN"/>
              </w:rPr>
              <w:t>【违法责任】《中华人民共和国野生动物保护法》第四十八条“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tc>
        <w:tc>
          <w:tcPr>
            <w:tcW w:w="1215" w:type="dxa"/>
            <w:noWrap w:val="0"/>
            <w:vAlign w:val="center"/>
          </w:tcPr>
          <w:p>
            <w:pPr>
              <w:overflowPunct w:val="0"/>
              <w:autoSpaceDE w:val="0"/>
              <w:autoSpaceDN w:val="0"/>
              <w:jc w:val="center"/>
              <w:rPr>
                <w:rFonts w:hint="eastAsia"/>
                <w:kern w:val="0"/>
                <w:sz w:val="24"/>
                <w:szCs w:val="24"/>
                <w:lang w:val="en-US" w:eastAsia="zh-CN"/>
              </w:rPr>
            </w:pPr>
            <w:r>
              <w:rPr>
                <w:rFonts w:hint="eastAsia"/>
                <w:kern w:val="0"/>
                <w:sz w:val="24"/>
                <w:szCs w:val="24"/>
                <w:lang w:val="en-US" w:eastAsia="zh-CN"/>
              </w:rPr>
              <w:t>★</w:t>
            </w:r>
          </w:p>
        </w:tc>
        <w:tc>
          <w:tcPr>
            <w:tcW w:w="1635"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1、出售、收购、利用国家一级保护水生野生动物或者其产品的，须向省级人民政府渔业行政主管部门提出申请，并经其批准。</w:t>
            </w:r>
            <w:r>
              <w:rPr>
                <w:rFonts w:hint="eastAsia"/>
                <w:kern w:val="0"/>
                <w:sz w:val="24"/>
                <w:szCs w:val="24"/>
                <w:lang w:val="en-US" w:eastAsia="zh-CN"/>
              </w:rPr>
              <w:br w:type="textWrapping"/>
            </w:r>
            <w:r>
              <w:rPr>
                <w:rFonts w:hint="eastAsia"/>
                <w:kern w:val="0"/>
                <w:sz w:val="24"/>
                <w:szCs w:val="24"/>
                <w:lang w:val="en-US" w:eastAsia="zh-CN"/>
              </w:rPr>
              <w:t>2、出售、收购、利用国家二级保护水生野生动物或者其产品的，须向地市级人民政府渔业行政主管部门提出申请，并经其批准。</w:t>
            </w:r>
          </w:p>
        </w:tc>
        <w:tc>
          <w:tcPr>
            <w:tcW w:w="1231" w:type="dxa"/>
            <w:noWrap w:val="0"/>
            <w:vAlign w:val="center"/>
          </w:tcPr>
          <w:p>
            <w:pPr>
              <w:overflowPunct w:val="0"/>
              <w:autoSpaceDE w:val="0"/>
              <w:autoSpaceDN w:val="0"/>
              <w:rPr>
                <w:rFonts w:hint="eastAsia"/>
                <w:kern w:val="0"/>
                <w:sz w:val="24"/>
                <w:szCs w:val="24"/>
                <w:lang w:val="en-US" w:eastAsia="zh-CN"/>
              </w:rPr>
            </w:pPr>
            <w:r>
              <w:rPr>
                <w:rFonts w:hint="eastAsia"/>
                <w:kern w:val="0"/>
                <w:sz w:val="24"/>
                <w:szCs w:val="24"/>
                <w:lang w:val="en-US" w:eastAsia="zh-CN"/>
              </w:rPr>
              <w:t>苏州市农业综合行政执法支队执法协调科</w:t>
            </w:r>
            <w:r>
              <w:rPr>
                <w:rFonts w:hint="eastAsia" w:ascii="宋体" w:hAnsi="宋体"/>
                <w:kern w:val="0"/>
                <w:sz w:val="24"/>
                <w:szCs w:val="24"/>
                <w:lang w:val="en-US" w:eastAsia="zh-CN"/>
              </w:rPr>
              <w:t>65851578</w:t>
            </w:r>
          </w:p>
        </w:tc>
      </w:tr>
    </w:tbl>
    <w:p>
      <w:pPr>
        <w:spacing w:line="600" w:lineRule="exact"/>
        <w:rPr>
          <w:rFonts w:ascii="Times New Roman" w:hAnsi="Times New Roman" w:eastAsia="仿宋_GB2312" w:cs="Times New Roman"/>
          <w:kern w:val="0"/>
          <w:sz w:val="32"/>
          <w:szCs w:val="32"/>
        </w:rPr>
      </w:pPr>
    </w:p>
    <w:p/>
    <w:sectPr>
      <w:pgSz w:w="16838" w:h="11906" w:orient="landscape"/>
      <w:pgMar w:top="1406" w:right="1440" w:bottom="1406"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CB2084"/>
    <w:rsid w:val="5F6FEBEC"/>
    <w:rsid w:val="F9CB20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next w:val="1"/>
    <w:unhideWhenUsed/>
    <w:qFormat/>
    <w:uiPriority w:val="99"/>
    <w:pPr>
      <w:adjustRightInd w:val="0"/>
      <w:snapToGrid w:val="0"/>
      <w:spacing w:after="120" w:line="360" w:lineRule="auto"/>
    </w:pPr>
    <w:rPr>
      <w:rFonts w:ascii="Times New Roman" w:hAnsi="Times New Roman" w:eastAsia="仿宋"/>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2021-11-01T19:09:00Z</dcterms:created>
  <dc:creator>sugon</dc:creator>
  <cp:lastModifiedBy>sugon</cp:lastModifiedBy>
  <dcterms:modified xsi:type="dcterms:W3CDTF">2021-11-01T11:12:08Z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