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800B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关于开展“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庆丰收 话三农 展风采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”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农耕</w:t>
      </w:r>
    </w:p>
    <w:p w14:paraId="73A993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体育运动会活动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服务</w:t>
      </w:r>
      <w:bookmarkStart w:id="0" w:name="_GoBack"/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采购竞争性磋商</w:t>
      </w:r>
      <w:bookmarkEnd w:id="0"/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公告</w:t>
      </w:r>
    </w:p>
    <w:p w14:paraId="2B05C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640" w:firstLineChars="200"/>
        <w:jc w:val="left"/>
        <w:rPr>
          <w:rFonts w:hint="default" w:ascii="Times New Roman" w:hAnsi="Times New Roman" w:eastAsia="仿宋" w:cs="Times New Roman"/>
          <w:sz w:val="32"/>
          <w:szCs w:val="32"/>
        </w:rPr>
      </w:pPr>
    </w:p>
    <w:p w14:paraId="72FBC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为进一步丰富系统干部职工精神文化生活，厚植干部职工“三农”情怀，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大力弘扬团结协作、奋勇争先的体育竞技精神，凝聚干事创业强大合力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我局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拟于11月组织开展2026年“庆丰收 话三农 展风采”农耕体育运动会。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现公开邀请符合资格条件、有承接意向的优质服务机构参与本次活动服务采购磋商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2AD89BDD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600" w:firstLine="0" w:firstLineChars="0"/>
        <w:jc w:val="lef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一、服务商要求</w:t>
      </w:r>
    </w:p>
    <w:p w14:paraId="7A5B9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 具有独立承担民事责任的能力；</w:t>
      </w:r>
    </w:p>
    <w:p w14:paraId="08F677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 具备良好商业信誉及健全的财务会计制度；</w:t>
      </w:r>
    </w:p>
    <w:p w14:paraId="3282E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 拥有履行本合同必需的专业能力与从业人员；</w:t>
      </w:r>
    </w:p>
    <w:p w14:paraId="08254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 依法足额缴纳税收及社会保障资金，相关记录良好；</w:t>
      </w:r>
    </w:p>
    <w:p w14:paraId="74D8F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 2023年以来，经营活动中无违法违规、严重失信及安全事故相关记录；</w:t>
      </w:r>
    </w:p>
    <w:p w14:paraId="0A18D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 2023年以来具备同类活动策划、现场搭建等相关服务实施案例。</w:t>
      </w:r>
    </w:p>
    <w:p w14:paraId="3C804706">
      <w:pPr>
        <w:keepNext w:val="0"/>
        <w:keepLines w:val="0"/>
        <w:pageBreakBefore w:val="0"/>
        <w:widowControl w:val="0"/>
        <w:tabs>
          <w:tab w:val="left" w:pos="315"/>
          <w:tab w:val="center" w:pos="4153"/>
        </w:tabs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二、采购</w:t>
      </w:r>
      <w:r>
        <w:rPr>
          <w:rFonts w:hint="default" w:ascii="Times New Roman" w:hAnsi="Times New Roman" w:eastAsia="黑体" w:cs="Times New Roman"/>
          <w:bCs/>
          <w:sz w:val="32"/>
          <w:szCs w:val="32"/>
          <w:lang w:eastAsia="zh-CN"/>
        </w:rPr>
        <w:t>内容与</w:t>
      </w:r>
      <w:r>
        <w:rPr>
          <w:rFonts w:hint="default" w:ascii="Times New Roman" w:hAnsi="Times New Roman" w:eastAsia="黑体" w:cs="Times New Roman"/>
          <w:bCs/>
          <w:sz w:val="32"/>
          <w:szCs w:val="32"/>
        </w:rPr>
        <w:t>要求</w:t>
      </w:r>
    </w:p>
    <w:p w14:paraId="183897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default" w:ascii="Times New Roman" w:hAnsi="Times New Roman" w:eastAsia="楷体_GB2312" w:cs="Times New Roman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Cs/>
          <w:sz w:val="32"/>
          <w:szCs w:val="32"/>
          <w:lang w:eastAsia="zh-CN"/>
        </w:rPr>
        <w:t>（一）采购内容</w:t>
      </w:r>
    </w:p>
    <w:p w14:paraId="6D815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本次采购为“庆丰收 话三农 展风采”农耕体育运动会全流程服务，包含活动整体策划、场地布置、竞赛器材租赁、场地搭建、安全保障（含活动保险购置）、现场氛围营造、现场秩序维护及活动全过程统筹管理等服务。</w:t>
      </w:r>
    </w:p>
    <w:p w14:paraId="66969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default" w:ascii="Times New Roman" w:hAnsi="Times New Roman" w:eastAsia="楷体_GB2312" w:cs="Times New Roman"/>
          <w:bCs/>
          <w:sz w:val="32"/>
          <w:szCs w:val="32"/>
        </w:rPr>
      </w:pPr>
      <w:r>
        <w:rPr>
          <w:rFonts w:hint="default" w:ascii="Times New Roman" w:hAnsi="Times New Roman" w:eastAsia="楷体_GB2312" w:cs="Times New Roman"/>
          <w:bCs/>
          <w:sz w:val="32"/>
          <w:szCs w:val="32"/>
        </w:rPr>
        <w:t>（二）活动</w:t>
      </w:r>
      <w:r>
        <w:rPr>
          <w:rFonts w:hint="eastAsia" w:ascii="Times New Roman" w:hAnsi="Times New Roman" w:eastAsia="楷体_GB2312" w:cs="Times New Roman"/>
          <w:bCs/>
          <w:sz w:val="32"/>
          <w:szCs w:val="32"/>
          <w:lang w:val="en-US" w:eastAsia="zh-CN"/>
        </w:rPr>
        <w:t>实施</w:t>
      </w:r>
      <w:r>
        <w:rPr>
          <w:rFonts w:hint="default" w:ascii="Times New Roman" w:hAnsi="Times New Roman" w:eastAsia="楷体_GB2312" w:cs="Times New Roman"/>
          <w:bCs/>
          <w:sz w:val="32"/>
          <w:szCs w:val="32"/>
        </w:rPr>
        <w:t>要求</w:t>
      </w:r>
    </w:p>
    <w:p w14:paraId="46D4C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本次活动设置前期对接保障、竞技体育、团队竞技、趣味体验、趣味休闲等板块。活动主题定位清晰鲜明，场地布局规整有序，环境整洁平整，活动流程顺畅便捷，安全保障措施落实到位。</w:t>
      </w:r>
    </w:p>
    <w:p w14:paraId="59374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 氛围营造：提前完成活动场地实地踏勘，科学开展场地规划，高标准完成现场氛围布置工作。</w:t>
      </w:r>
    </w:p>
    <w:p w14:paraId="552E5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 器材配置：各竞赛项目配齐专用比赛器材，全部器材须符合安全规范；优先选用扁担、稻捆等凸显农耕特色的农具、农产品作为活动道具。</w:t>
      </w:r>
    </w:p>
    <w:p w14:paraId="71E999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 视觉设计：活动主背景幕布需创新设计，效果图效果应与现场落地搭建效果基本保持一致。</w:t>
      </w:r>
    </w:p>
    <w:p w14:paraId="7D67F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 项目设置：科学统筹赛事排布，均衡设置赛程，兼顾竞技性与农耕趣味性；竞赛项目规则简明易懂，将挑、担、推、跑等传统农事劳动动作转化为趣味竞赛环节。</w:t>
      </w:r>
    </w:p>
    <w:p w14:paraId="4241D1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 场地布置：现场布置充分凸显乡土风貌与丰收主题，合理规划人流动线，保障现场安全。</w:t>
      </w:r>
    </w:p>
    <w:p w14:paraId="2FE35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 安全保障：编制完善活动安全应急预案，统一为全体参与人员购置人身及财产意外伤害保险。</w:t>
      </w:r>
    </w:p>
    <w:p w14:paraId="6BC375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7. 场地协调：负责对接落实符合本次活动承办条件的活动场地。</w:t>
      </w:r>
    </w:p>
    <w:p w14:paraId="27A8AF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8. 奖品设置：运动会各级奖项奖品总金额，不得低于本项目服务商总报价的50%。</w:t>
      </w:r>
    </w:p>
    <w:p w14:paraId="4EE525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9. 其他：落实本次活动相关其他配套工作。</w:t>
      </w:r>
    </w:p>
    <w:p w14:paraId="4DB937E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63" w:firstLine="640"/>
        <w:jc w:val="both"/>
        <w:rPr>
          <w:rFonts w:hint="default" w:ascii="Times New Roman" w:hAnsi="Times New Roman" w:eastAsia="楷体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kern w:val="0"/>
          <w:sz w:val="32"/>
          <w:szCs w:val="32"/>
        </w:rPr>
        <w:t>（三）价格</w:t>
      </w:r>
      <w:r>
        <w:rPr>
          <w:rFonts w:hint="eastAsia" w:eastAsia="楷体_GB2312" w:cs="Times New Roman"/>
          <w:kern w:val="0"/>
          <w:sz w:val="32"/>
          <w:szCs w:val="32"/>
          <w:lang w:val="en-US" w:eastAsia="zh-CN"/>
        </w:rPr>
        <w:t>控制</w:t>
      </w:r>
      <w:r>
        <w:rPr>
          <w:rFonts w:hint="default" w:ascii="Times New Roman" w:hAnsi="Times New Roman" w:eastAsia="楷体_GB2312" w:cs="Times New Roman"/>
          <w:kern w:val="0"/>
          <w:sz w:val="32"/>
          <w:szCs w:val="32"/>
        </w:rPr>
        <w:t>要求</w:t>
      </w:r>
    </w:p>
    <w:p w14:paraId="2EB0E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本项目最高总报价不得超过人民币15万元。</w:t>
      </w:r>
    </w:p>
    <w:p w14:paraId="4A47E6E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63" w:firstLine="640"/>
        <w:jc w:val="both"/>
        <w:rPr>
          <w:rFonts w:hint="default" w:ascii="Times New Roman" w:hAnsi="Times New Roman" w:eastAsia="楷体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kern w:val="0"/>
          <w:sz w:val="32"/>
          <w:szCs w:val="32"/>
        </w:rPr>
        <w:t>（四）</w:t>
      </w:r>
      <w:r>
        <w:rPr>
          <w:rFonts w:hint="default" w:ascii="Times New Roman" w:hAnsi="Times New Roman" w:eastAsia="楷体_GB2312" w:cs="Times New Roman"/>
          <w:kern w:val="0"/>
          <w:sz w:val="32"/>
          <w:szCs w:val="32"/>
          <w:lang w:eastAsia="zh-CN"/>
        </w:rPr>
        <w:t>报名</w:t>
      </w:r>
      <w:r>
        <w:rPr>
          <w:rFonts w:hint="default" w:ascii="Times New Roman" w:hAnsi="Times New Roman" w:eastAsia="楷体_GB2312" w:cs="Times New Roman"/>
          <w:kern w:val="0"/>
          <w:sz w:val="32"/>
          <w:szCs w:val="32"/>
        </w:rPr>
        <w:t>时间</w:t>
      </w:r>
    </w:p>
    <w:p w14:paraId="232B143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63" w:firstLine="640"/>
        <w:jc w:val="both"/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202</w:t>
      </w:r>
      <w:r>
        <w:rPr>
          <w:rFonts w:hint="eastAsia" w:eastAsia="仿宋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年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eastAsia" w:eastAsia="仿宋" w:cs="Times New Roman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月</w:t>
      </w:r>
      <w:r>
        <w:rPr>
          <w:rFonts w:hint="eastAsia" w:eastAsia="仿宋" w:cs="Times New Roman"/>
          <w:sz w:val="32"/>
          <w:szCs w:val="32"/>
          <w:highlight w:val="none"/>
          <w:lang w:val="en-US" w:eastAsia="zh-CN"/>
        </w:rPr>
        <w:t>12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日</w:t>
      </w:r>
      <w:r>
        <w:rPr>
          <w:rFonts w:hint="eastAsia" w:eastAsia="仿宋" w:cs="Times New Roman"/>
          <w:sz w:val="32"/>
          <w:szCs w:val="32"/>
          <w:highlight w:val="none"/>
          <w:lang w:val="en-US" w:eastAsia="zh-CN"/>
        </w:rPr>
        <w:t>至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202</w:t>
      </w:r>
      <w:r>
        <w:rPr>
          <w:rFonts w:hint="eastAsia" w:eastAsia="仿宋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eastAsia" w:eastAsia="仿宋" w:cs="Times New Roman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月</w:t>
      </w:r>
      <w:r>
        <w:rPr>
          <w:rFonts w:hint="eastAsia" w:eastAsia="仿宋" w:cs="Times New Roman"/>
          <w:sz w:val="32"/>
          <w:szCs w:val="32"/>
          <w:highlight w:val="none"/>
          <w:lang w:val="en-US" w:eastAsia="zh-CN"/>
        </w:rPr>
        <w:t>18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日</w:t>
      </w:r>
    </w:p>
    <w:p w14:paraId="7F084211">
      <w:pPr>
        <w:keepNext w:val="0"/>
        <w:keepLines w:val="0"/>
        <w:pageBreakBefore w:val="0"/>
        <w:widowControl w:val="0"/>
        <w:tabs>
          <w:tab w:val="left" w:pos="315"/>
          <w:tab w:val="center" w:pos="4153"/>
        </w:tabs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三、响应文件的组成及要求</w:t>
      </w:r>
    </w:p>
    <w:p w14:paraId="096E7269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63" w:firstLine="640"/>
        <w:jc w:val="both"/>
        <w:rPr>
          <w:rFonts w:hint="default" w:ascii="Times New Roman" w:hAnsi="Times New Roman" w:eastAsia="楷体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kern w:val="0"/>
          <w:sz w:val="32"/>
          <w:szCs w:val="32"/>
        </w:rPr>
        <w:t>（一）文件组成</w:t>
      </w:r>
    </w:p>
    <w:p w14:paraId="69E408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 服务商资质证明材料（如营业执照复印件、税务相关证明复印件等）；</w:t>
      </w:r>
    </w:p>
    <w:p w14:paraId="1FC3D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 服务商单位基本情况简介；</w:t>
      </w:r>
    </w:p>
    <w:p w14:paraId="73A6D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 服务承诺书；</w:t>
      </w:r>
    </w:p>
    <w:p w14:paraId="49612B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 项目响应报价表；</w:t>
      </w:r>
    </w:p>
    <w:p w14:paraId="2F353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 法定代表人有效身份证明复印件；</w:t>
      </w:r>
    </w:p>
    <w:p w14:paraId="2719C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 本项目完整服务实施方案；</w:t>
      </w:r>
    </w:p>
    <w:p w14:paraId="7AD1FC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7. 2023年以来同类活动案例证明材料或对应项目实施方案；</w:t>
      </w:r>
    </w:p>
    <w:p w14:paraId="7E4803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8. 2023年以来无重大违法违规、严重失信及安全事故记录的书面承诺书；</w:t>
      </w:r>
    </w:p>
    <w:p w14:paraId="544B8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9. 活动安全责任承诺书；</w:t>
      </w:r>
    </w:p>
    <w:p w14:paraId="264830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10. 其他能够佐证响应供应商综合实力的补充证明材料。</w:t>
      </w:r>
    </w:p>
    <w:p w14:paraId="2EC4E7D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63" w:firstLine="640"/>
        <w:jc w:val="both"/>
        <w:rPr>
          <w:rFonts w:hint="default" w:ascii="Times New Roman" w:hAnsi="Times New Roman" w:eastAsia="楷体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kern w:val="0"/>
          <w:sz w:val="32"/>
          <w:szCs w:val="32"/>
        </w:rPr>
        <w:t>（二）文件</w:t>
      </w:r>
      <w:r>
        <w:rPr>
          <w:rFonts w:hint="eastAsia" w:eastAsia="楷体_GB2312" w:cs="Times New Roman"/>
          <w:kern w:val="0"/>
          <w:sz w:val="32"/>
          <w:szCs w:val="32"/>
          <w:lang w:val="en-US" w:eastAsia="zh-CN"/>
        </w:rPr>
        <w:t>递交</w:t>
      </w:r>
      <w:r>
        <w:rPr>
          <w:rFonts w:hint="default" w:ascii="Times New Roman" w:hAnsi="Times New Roman" w:eastAsia="楷体_GB2312" w:cs="Times New Roman"/>
          <w:kern w:val="0"/>
          <w:sz w:val="32"/>
          <w:szCs w:val="32"/>
        </w:rPr>
        <w:t>要求</w:t>
      </w:r>
    </w:p>
    <w:p w14:paraId="165AAE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 响应文件一式五份，统一装订成册并密封包装，密封袋封口处加盖单位公章；密封袋正面清晰标注响应供应商全称。</w:t>
      </w:r>
    </w:p>
    <w:p w14:paraId="68315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 响应文件每一页均须加盖响应供应商公章。</w:t>
      </w:r>
    </w:p>
    <w:p w14:paraId="600B64AB">
      <w:pPr>
        <w:keepNext w:val="0"/>
        <w:keepLines w:val="0"/>
        <w:pageBreakBefore w:val="0"/>
        <w:widowControl w:val="0"/>
        <w:tabs>
          <w:tab w:val="left" w:pos="315"/>
          <w:tab w:val="center" w:pos="4153"/>
        </w:tabs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四、</w:t>
      </w:r>
      <w:r>
        <w:rPr>
          <w:rFonts w:hint="default" w:ascii="Times New Roman" w:hAnsi="Times New Roman" w:eastAsia="黑体" w:cs="Times New Roman"/>
          <w:bCs/>
          <w:sz w:val="32"/>
          <w:szCs w:val="32"/>
          <w:lang w:eastAsia="zh-CN"/>
        </w:rPr>
        <w:t>评审</w:t>
      </w:r>
      <w:r>
        <w:rPr>
          <w:rFonts w:hint="default" w:ascii="Times New Roman" w:hAnsi="Times New Roman" w:eastAsia="黑体" w:cs="Times New Roman"/>
          <w:bCs/>
          <w:sz w:val="32"/>
          <w:szCs w:val="32"/>
        </w:rPr>
        <w:t>程序</w:t>
      </w:r>
    </w:p>
    <w:p w14:paraId="4B927F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我局将组建评审专家组对各单位递交的响应文件开展评审，本次评审采用综合评分法。在响应文件最大限度满足采购文件实质性要求的基础上，围绕服务商报价、单位综合实力、服务实施方案、过往实施案例、服务人员专业能力等维度开展综合打分，综合得分最高的服务商确定为本项目成交供应商。</w:t>
      </w:r>
    </w:p>
    <w:p w14:paraId="01957FE4">
      <w:pPr>
        <w:keepNext w:val="0"/>
        <w:keepLines w:val="0"/>
        <w:pageBreakBefore w:val="0"/>
        <w:widowControl w:val="0"/>
        <w:tabs>
          <w:tab w:val="left" w:pos="315"/>
          <w:tab w:val="center" w:pos="4153"/>
        </w:tabs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五、合同主要条款</w:t>
      </w:r>
    </w:p>
    <w:p w14:paraId="30062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采购双方依据本采购文件、服务商响应文件以及成交公示结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果，签订项目服务合同。</w:t>
      </w:r>
    </w:p>
    <w:p w14:paraId="2151B8E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价格与支付</w:t>
      </w:r>
    </w:p>
    <w:p w14:paraId="0EC435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（1）服务商报价包含方案设计、人工、辅材、装饰材料、安装调试、包装运输、装卸仓储、保险、税金、劳保、差旅住宿、专利技术等完成本项目全部工作所产生的一切费用。</w:t>
      </w:r>
    </w:p>
    <w:p w14:paraId="5266D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（2）付款节点：合同生效后，甲方支付合同总价款的50%；活动全部顺利办结后一个月内，甲方完成剩余全部款项支付。</w:t>
      </w:r>
    </w:p>
    <w:p w14:paraId="71398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（3）付款方式：银行转账（支持数字人民币）。</w:t>
      </w:r>
    </w:p>
    <w:p w14:paraId="7ACD56D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服务标准</w:t>
      </w:r>
    </w:p>
    <w:p w14:paraId="69A86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项目服务执行国家相关规范标准及本采购文件约定全部要求。</w:t>
      </w:r>
    </w:p>
    <w:p w14:paraId="584670B9">
      <w:pPr>
        <w:keepNext w:val="0"/>
        <w:keepLines w:val="0"/>
        <w:pageBreakBefore w:val="0"/>
        <w:widowControl w:val="0"/>
        <w:tabs>
          <w:tab w:val="left" w:pos="315"/>
          <w:tab w:val="center" w:pos="4153"/>
        </w:tabs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六、综合说明</w:t>
      </w:r>
    </w:p>
    <w:p w14:paraId="20F23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 服务商须承诺响应采购文件全部条款要求。若存在部分条款无法响应的，须在响应文件中逐条予以列明；未列明的，视同全部响应采购文件要求。</w:t>
      </w:r>
    </w:p>
    <w:p w14:paraId="6BE19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 报价相关要求</w:t>
      </w:r>
    </w:p>
    <w:p w14:paraId="0EC4F9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（1）报价采用人民币计价，须以表格形式规范报送；</w:t>
      </w:r>
    </w:p>
    <w:p w14:paraId="46A15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（2）服务商须对本项目全部采购内容进行完整报价；仅对部分内容报价或总报价超出预算限额的，其响应文件按无效处理。</w:t>
      </w:r>
    </w:p>
    <w:p w14:paraId="08271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3）服务商报价须涵盖完成本项目所需全部成本，包括但不限于设计、人工、辅助材料、装饰装修、安装调试、包装、运输、装卸、仓储、保险、各类税费、劳保、住宿、专利技术等为完成本项目产生的全部费用。</w:t>
      </w:r>
    </w:p>
    <w:p w14:paraId="0D8EFC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 项目实施过程中，因响应供应商自身责任造成的各类经济损失，由响应供应商按照实际损失金额予以赔偿。</w:t>
      </w:r>
    </w:p>
    <w:p w14:paraId="2578B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 响应文件全部以中文版本资料为准。</w:t>
      </w:r>
    </w:p>
    <w:p w14:paraId="73A52CBF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600" w:firstLine="0" w:firstLineChars="0"/>
        <w:jc w:val="left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七、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其他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事项</w:t>
      </w:r>
    </w:p>
    <w:p w14:paraId="22F9B3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 相应报价超出本项目预算控制价的，按无效响应处理。</w:t>
      </w:r>
    </w:p>
    <w:p w14:paraId="2C7422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 递交有效响应文件的投标供应商不足三家的，按无效响应处理。</w:t>
      </w:r>
    </w:p>
    <w:p w14:paraId="4BF8B9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 各磋商单位须于2026年10月18日17:00前，将全套一式五份密封材料邮寄或现场递交至我局。</w:t>
      </w:r>
    </w:p>
    <w:p w14:paraId="4DF90A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材料接收人：高鹏羽</w:t>
      </w:r>
    </w:p>
    <w:p w14:paraId="61EC0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采购咨询电话：65614209</w:t>
      </w:r>
    </w:p>
    <w:p w14:paraId="6FFD3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局机关纪委监督电话：65613871</w:t>
      </w:r>
    </w:p>
    <w:p w14:paraId="6A913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地址：苏州市东吴北路团结桥巷2号</w:t>
      </w:r>
    </w:p>
    <w:p w14:paraId="6E6CE6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邮政编码：215128</w:t>
      </w:r>
    </w:p>
    <w:p w14:paraId="72469C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</w:pPr>
    </w:p>
    <w:p w14:paraId="03B82E3A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right="163" w:firstLine="0" w:firstLineChars="0"/>
        <w:jc w:val="both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</w:p>
    <w:p w14:paraId="79E063A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63" w:firstLine="5440" w:firstLineChars="1700"/>
        <w:jc w:val="both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</w:p>
    <w:p w14:paraId="29B0BAC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63" w:firstLine="5760" w:firstLineChars="1800"/>
        <w:jc w:val="both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苏州市农业农村局</w:t>
      </w:r>
    </w:p>
    <w:p w14:paraId="392C34D0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63" w:firstLine="5760" w:firstLineChars="1800"/>
        <w:jc w:val="both"/>
        <w:rPr>
          <w:rFonts w:hint="default" w:ascii="Times New Roman" w:hAnsi="Times New Roman" w:eastAsia="仿宋" w:cs="Times New Roman"/>
          <w:sz w:val="32"/>
          <w:szCs w:val="32"/>
          <w:highlight w:val="yellow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202</w:t>
      </w:r>
      <w:r>
        <w:rPr>
          <w:rFonts w:hint="eastAsia" w:eastAsia="仿宋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年</w:t>
      </w:r>
      <w:r>
        <w:rPr>
          <w:rFonts w:hint="eastAsia" w:eastAsia="仿宋" w:cs="Times New Roman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月</w:t>
      </w:r>
      <w:r>
        <w:rPr>
          <w:rFonts w:hint="eastAsia" w:eastAsia="仿宋" w:cs="Times New Roman"/>
          <w:sz w:val="32"/>
          <w:szCs w:val="32"/>
          <w:highlight w:val="none"/>
          <w:lang w:val="en-US" w:eastAsia="zh-CN"/>
        </w:rPr>
        <w:t>12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日</w:t>
      </w:r>
    </w:p>
    <w:p w14:paraId="27026659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right="163" w:firstLine="5760" w:firstLineChars="1800"/>
        <w:jc w:val="both"/>
        <w:rPr>
          <w:rFonts w:hint="default" w:ascii="Times New Roman" w:hAnsi="Times New Roman" w:eastAsia="仿宋" w:cs="Times New Roman"/>
          <w:sz w:val="32"/>
          <w:szCs w:val="32"/>
        </w:rPr>
      </w:pPr>
    </w:p>
    <w:p w14:paraId="42C7F64C">
      <w:pPr>
        <w:spacing w:line="560" w:lineRule="exac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191ECABA">
      <w:pPr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5DEA6CA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right="163" w:firstLine="5760" w:firstLineChars="1800"/>
        <w:jc w:val="both"/>
        <w:rPr>
          <w:rFonts w:hint="default" w:ascii="Times New Roman" w:hAnsi="Times New Roman" w:eastAsia="仿宋" w:cs="Times New Roman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1FA823A-594A-44F7-AFF3-66D9AD359AE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9B96126-B518-4F31-B032-A92F0B83D1E7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FF68D5B-A112-4586-9C0E-6FED944D422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4ACDDB64-0FC3-44D6-A042-2B2A93EB095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4AC43FE4-4BCC-490B-9D3A-05CD5D8A5D1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3D072829-ACE2-42DA-8403-4BAA90BFEBA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9805C6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940690373" name="Text Box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F6D22E">
                          <w:pPr>
                            <w:pStyle w:val="4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025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y1u5d9AAAAACAQAADwAAAAAAAAABACAAAAAiAAAAZHJzL2Rvd25yZXYu&#10;eG1sUEsBAhQAFAAAAAgAh07iQJ+KAjQDAgAADAQAAA4AAAAAAAAAAQAgAAAAHwEAAGRycy9lMm9E&#10;b2MueG1sUEsFBgAAAAAGAAYAWQEAAJQ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EF6D22E">
                    <w:pPr>
                      <w:pStyle w:val="4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86AF14"/>
    <w:multiLevelType w:val="singleLevel"/>
    <w:tmpl w:val="4986AF1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JkY2ZhYWViMDZmNWUyNDcxZTUyZjFhMmM3M2NjN2YifQ=="/>
  </w:docVars>
  <w:rsids>
    <w:rsidRoot w:val="00B7252F"/>
    <w:rsid w:val="000B058D"/>
    <w:rsid w:val="000D0496"/>
    <w:rsid w:val="000D68BC"/>
    <w:rsid w:val="00110EDA"/>
    <w:rsid w:val="00131E48"/>
    <w:rsid w:val="00194F1A"/>
    <w:rsid w:val="001962F4"/>
    <w:rsid w:val="001A170E"/>
    <w:rsid w:val="001C09C0"/>
    <w:rsid w:val="001C7133"/>
    <w:rsid w:val="0025625B"/>
    <w:rsid w:val="00281A05"/>
    <w:rsid w:val="00297047"/>
    <w:rsid w:val="002B17B8"/>
    <w:rsid w:val="002B6A35"/>
    <w:rsid w:val="002E196F"/>
    <w:rsid w:val="002F2EE1"/>
    <w:rsid w:val="00342F43"/>
    <w:rsid w:val="00347E2E"/>
    <w:rsid w:val="0037603B"/>
    <w:rsid w:val="003B376F"/>
    <w:rsid w:val="003F4549"/>
    <w:rsid w:val="00401FCF"/>
    <w:rsid w:val="0040392B"/>
    <w:rsid w:val="00437059"/>
    <w:rsid w:val="004906A3"/>
    <w:rsid w:val="004A607C"/>
    <w:rsid w:val="004B728A"/>
    <w:rsid w:val="004C577F"/>
    <w:rsid w:val="00503E45"/>
    <w:rsid w:val="005304E6"/>
    <w:rsid w:val="0054244C"/>
    <w:rsid w:val="005B3E7B"/>
    <w:rsid w:val="005C3A46"/>
    <w:rsid w:val="00632075"/>
    <w:rsid w:val="00657D85"/>
    <w:rsid w:val="006B7DDA"/>
    <w:rsid w:val="006C5897"/>
    <w:rsid w:val="00761D27"/>
    <w:rsid w:val="007D04F5"/>
    <w:rsid w:val="008006A8"/>
    <w:rsid w:val="00801089"/>
    <w:rsid w:val="008537EC"/>
    <w:rsid w:val="0087452A"/>
    <w:rsid w:val="008B0BDE"/>
    <w:rsid w:val="008D5AE7"/>
    <w:rsid w:val="008D7347"/>
    <w:rsid w:val="008E768C"/>
    <w:rsid w:val="008F3E44"/>
    <w:rsid w:val="00923747"/>
    <w:rsid w:val="00947453"/>
    <w:rsid w:val="009512B8"/>
    <w:rsid w:val="009803FD"/>
    <w:rsid w:val="00997F4F"/>
    <w:rsid w:val="009A3930"/>
    <w:rsid w:val="009A67C9"/>
    <w:rsid w:val="009B0419"/>
    <w:rsid w:val="009D11F8"/>
    <w:rsid w:val="009D7F5F"/>
    <w:rsid w:val="009E57F4"/>
    <w:rsid w:val="00AE7EDA"/>
    <w:rsid w:val="00AF4650"/>
    <w:rsid w:val="00B01B99"/>
    <w:rsid w:val="00B409CC"/>
    <w:rsid w:val="00B7252F"/>
    <w:rsid w:val="00B910E8"/>
    <w:rsid w:val="00BC6680"/>
    <w:rsid w:val="00C72752"/>
    <w:rsid w:val="00C90AD9"/>
    <w:rsid w:val="00C90F24"/>
    <w:rsid w:val="00CC244A"/>
    <w:rsid w:val="00CE019C"/>
    <w:rsid w:val="00CE5E11"/>
    <w:rsid w:val="00D07D23"/>
    <w:rsid w:val="00D27211"/>
    <w:rsid w:val="00D953DF"/>
    <w:rsid w:val="00DA43E6"/>
    <w:rsid w:val="00DB05E6"/>
    <w:rsid w:val="00EA4E30"/>
    <w:rsid w:val="00EA5891"/>
    <w:rsid w:val="00EB1A72"/>
    <w:rsid w:val="00ED021D"/>
    <w:rsid w:val="00F229E5"/>
    <w:rsid w:val="00F3037C"/>
    <w:rsid w:val="00F85106"/>
    <w:rsid w:val="00FA4CFC"/>
    <w:rsid w:val="00FE603D"/>
    <w:rsid w:val="043F2774"/>
    <w:rsid w:val="074B3407"/>
    <w:rsid w:val="0C000C3B"/>
    <w:rsid w:val="0F821E7D"/>
    <w:rsid w:val="10680CB6"/>
    <w:rsid w:val="10EF574B"/>
    <w:rsid w:val="128535CC"/>
    <w:rsid w:val="1BCA61FC"/>
    <w:rsid w:val="1DFD8C39"/>
    <w:rsid w:val="1F264229"/>
    <w:rsid w:val="22BB0000"/>
    <w:rsid w:val="25271F3D"/>
    <w:rsid w:val="27FE5FB9"/>
    <w:rsid w:val="295144BF"/>
    <w:rsid w:val="2A686545"/>
    <w:rsid w:val="2BFB0299"/>
    <w:rsid w:val="2EBE2E4B"/>
    <w:rsid w:val="30A95FDC"/>
    <w:rsid w:val="321B44CF"/>
    <w:rsid w:val="33274BE3"/>
    <w:rsid w:val="34BA3D6E"/>
    <w:rsid w:val="370D2DA8"/>
    <w:rsid w:val="384571D0"/>
    <w:rsid w:val="3A8621BC"/>
    <w:rsid w:val="3DEED541"/>
    <w:rsid w:val="3F1B2660"/>
    <w:rsid w:val="3F733BB1"/>
    <w:rsid w:val="413437FC"/>
    <w:rsid w:val="47ED6C69"/>
    <w:rsid w:val="4C9F4D19"/>
    <w:rsid w:val="4FC92801"/>
    <w:rsid w:val="53FD045B"/>
    <w:rsid w:val="585F9C32"/>
    <w:rsid w:val="59691361"/>
    <w:rsid w:val="5B3FC2DD"/>
    <w:rsid w:val="5EAF7199"/>
    <w:rsid w:val="5FA53B59"/>
    <w:rsid w:val="5FD155AA"/>
    <w:rsid w:val="619614D0"/>
    <w:rsid w:val="65DB0955"/>
    <w:rsid w:val="689E36D5"/>
    <w:rsid w:val="6AFACB55"/>
    <w:rsid w:val="6DFCF146"/>
    <w:rsid w:val="702B7BBA"/>
    <w:rsid w:val="717323AB"/>
    <w:rsid w:val="739D53B4"/>
    <w:rsid w:val="759439C6"/>
    <w:rsid w:val="759D6F04"/>
    <w:rsid w:val="77DE9686"/>
    <w:rsid w:val="77F8DF83"/>
    <w:rsid w:val="77FB37BA"/>
    <w:rsid w:val="7B7F174E"/>
    <w:rsid w:val="7D8C1CD5"/>
    <w:rsid w:val="7DE67114"/>
    <w:rsid w:val="7DFF2626"/>
    <w:rsid w:val="7DFF5E3A"/>
    <w:rsid w:val="7E096221"/>
    <w:rsid w:val="7F6F703A"/>
    <w:rsid w:val="7F74BD99"/>
    <w:rsid w:val="7F7F60D0"/>
    <w:rsid w:val="7F7F9BCE"/>
    <w:rsid w:val="7F7FC951"/>
    <w:rsid w:val="7FBF4F15"/>
    <w:rsid w:val="7FD7EDCA"/>
    <w:rsid w:val="7FE57205"/>
    <w:rsid w:val="7FE843E5"/>
    <w:rsid w:val="7FEB3D2F"/>
    <w:rsid w:val="7FEDC3C6"/>
    <w:rsid w:val="7FF5B02F"/>
    <w:rsid w:val="9BFC865B"/>
    <w:rsid w:val="9E7B79AD"/>
    <w:rsid w:val="AEBF1EB5"/>
    <w:rsid w:val="AF78BDFD"/>
    <w:rsid w:val="BBCD81D9"/>
    <w:rsid w:val="BDFC5103"/>
    <w:rsid w:val="BE931697"/>
    <w:rsid w:val="CFFB99DC"/>
    <w:rsid w:val="D8FECE7E"/>
    <w:rsid w:val="DAEF9BD7"/>
    <w:rsid w:val="DBADE2AC"/>
    <w:rsid w:val="DEFD8284"/>
    <w:rsid w:val="DF2F7BE5"/>
    <w:rsid w:val="E9BF7229"/>
    <w:rsid w:val="EFABD3D5"/>
    <w:rsid w:val="F32E15DD"/>
    <w:rsid w:val="F3FF6E3E"/>
    <w:rsid w:val="F5BFE5FA"/>
    <w:rsid w:val="F7D79E1F"/>
    <w:rsid w:val="FAFDD444"/>
    <w:rsid w:val="FDC551D2"/>
    <w:rsid w:val="FEDC5213"/>
    <w:rsid w:val="FF1B02EB"/>
    <w:rsid w:val="FF7DDBC0"/>
    <w:rsid w:val="FF9CB165"/>
    <w:rsid w:val="FFD9E731"/>
    <w:rsid w:val="FFFF20E9"/>
    <w:rsid w:val="FFFFFC7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eastAsia="宋体"/>
    </w:r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Indent 3"/>
    <w:basedOn w:val="1"/>
    <w:link w:val="10"/>
    <w:qFormat/>
    <w:uiPriority w:val="0"/>
    <w:pPr>
      <w:spacing w:line="440" w:lineRule="exact"/>
      <w:ind w:firstLine="480" w:firstLineChars="200"/>
      <w:jc w:val="left"/>
    </w:pPr>
    <w:rPr>
      <w:rFonts w:ascii="Times New Roman" w:hAnsi="Times New Roman" w:eastAsia="宋体" w:cs="Times New Roman"/>
      <w:sz w:val="24"/>
      <w:szCs w:val="24"/>
    </w:rPr>
  </w:style>
  <w:style w:type="paragraph" w:styleId="7">
    <w:name w:val="Body Text First Indent"/>
    <w:basedOn w:val="2"/>
    <w:qFormat/>
    <w:uiPriority w:val="0"/>
    <w:pPr>
      <w:ind w:firstLine="420" w:firstLineChars="100"/>
    </w:pPr>
  </w:style>
  <w:style w:type="character" w:customStyle="1" w:styleId="10">
    <w:name w:val="正文文本缩进 3 字符"/>
    <w:basedOn w:val="9"/>
    <w:link w:val="6"/>
    <w:qFormat/>
    <w:uiPriority w:val="0"/>
    <w:rPr>
      <w:rFonts w:ascii="Times New Roman" w:hAnsi="Times New Roman" w:eastAsia="宋体" w:cs="Times New Roman"/>
      <w:sz w:val="24"/>
      <w:szCs w:val="24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框文本 字符"/>
    <w:basedOn w:val="9"/>
    <w:link w:val="3"/>
    <w:semiHidden/>
    <w:qFormat/>
    <w:uiPriority w:val="99"/>
    <w:rPr>
      <w:sz w:val="18"/>
      <w:szCs w:val="18"/>
    </w:rPr>
  </w:style>
  <w:style w:type="paragraph" w:customStyle="1" w:styleId="15">
    <w:name w:val="纯文本1"/>
    <w:basedOn w:val="1"/>
    <w:qFormat/>
    <w:uiPriority w:val="0"/>
    <w:pPr>
      <w:adjustRightInd w:val="0"/>
      <w:textAlignment w:val="baseline"/>
    </w:pPr>
    <w:rPr>
      <w:rFonts w:ascii="宋体" w:hAnsi="Courier New" w:eastAsia="楷体_GB2312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2067</Words>
  <Characters>2166</Characters>
  <Lines>21</Lines>
  <Paragraphs>5</Paragraphs>
  <TotalTime>38</TotalTime>
  <ScaleCrop>false</ScaleCrop>
  <LinksUpToDate>false</LinksUpToDate>
  <CharactersWithSpaces>2206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2023-07-14T11:56:00Z</dcterms:created>
  <dc:creator>admin</dc:creator>
  <cp:lastModifiedBy>Am~an</cp:lastModifiedBy>
  <cp:lastPrinted>2023-07-15T09:56:00Z</cp:lastPrinted>
  <dcterms:modified xsi:type="dcterms:W3CDTF">2026-10-12T02:21:37Z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5232FC74F40C4F6385C122B99D890E2C_13</vt:lpwstr>
  </property>
  <property fmtid="{D5CDD505-2E9C-101B-9397-08002B2CF9AE}" pid="4" name="KSOTemplateDocerSaveRecord">
    <vt:lpwstr>eyJoZGlkIjoiNzAzNzAxMGZhNmY3ZGU4OTA2ZDU1OGI2MDg1ZWU0MGQiLCJ1c2VySWQiOiIyODkwNzY4NTIifQ==</vt:lpwstr>
  </property>
</Properties>
</file>