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简体" w:hAnsi="方正小标宋简体" w:eastAsia="方正小标宋简体" w:cs="方正小标宋简体"/>
          <w:color w:val="auto"/>
          <w:sz w:val="44"/>
          <w:szCs w:val="44"/>
          <w:lang w:val="en-US" w:eastAsia="zh-CN"/>
        </w:rPr>
      </w:pPr>
      <w:r>
        <w:rPr>
          <w:rFonts w:hint="eastAsia" w:ascii="方正小标宋简体" w:hAnsi="方正小标宋简体" w:eastAsia="方正小标宋简体" w:cs="方正小标宋简体"/>
          <w:color w:val="auto"/>
          <w:sz w:val="44"/>
          <w:szCs w:val="44"/>
          <w:lang w:val="en-US" w:eastAsia="zh-CN"/>
        </w:rPr>
        <w:t>关于第二十六届江苏农业国际合作洽谈会苏州展区展台设计搭建及农业招商推介活动</w:t>
      </w:r>
    </w:p>
    <w:p>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default" w:ascii="方正小标宋简体" w:hAnsi="方正小标宋简体" w:eastAsia="方正小标宋简体" w:cs="方正小标宋简体"/>
          <w:color w:val="auto"/>
          <w:sz w:val="44"/>
          <w:szCs w:val="44"/>
          <w:lang w:val="en-US" w:eastAsia="zh-CN"/>
        </w:rPr>
      </w:pPr>
      <w:r>
        <w:rPr>
          <w:rFonts w:hint="eastAsia" w:ascii="方正小标宋简体" w:hAnsi="方正小标宋简体" w:eastAsia="方正小标宋简体" w:cs="方正小标宋简体"/>
          <w:color w:val="auto"/>
          <w:sz w:val="44"/>
          <w:szCs w:val="44"/>
          <w:lang w:val="en-US" w:eastAsia="zh-CN"/>
        </w:rPr>
        <w:t>服务采购的竞争性磋商公告</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为抢抓农业经贸合作机遇，充分展示苏州特色优质农产品与现代农业发展成果，我局拟组织涉农企业组团参加第二十六届江苏农业国际合作洽谈会（以下简称“农洽会”），同步开展农业招商推介活动</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拟邀请符合要求</w:t>
      </w:r>
      <w:r>
        <w:rPr>
          <w:rFonts w:hint="default" w:ascii="Times New Roman" w:hAnsi="Times New Roman" w:eastAsia="仿宋_GB2312" w:cs="Times New Roman"/>
          <w:color w:val="auto"/>
          <w:sz w:val="32"/>
          <w:szCs w:val="32"/>
          <w:lang w:eastAsia="zh-CN"/>
        </w:rPr>
        <w:t>并有意向的优质服务机构参加此次活动</w:t>
      </w:r>
      <w:r>
        <w:rPr>
          <w:rFonts w:hint="eastAsia" w:ascii="Times New Roman" w:hAnsi="Times New Roman" w:eastAsia="仿宋_GB2312" w:cs="Times New Roman"/>
          <w:color w:val="auto"/>
          <w:sz w:val="32"/>
          <w:szCs w:val="32"/>
          <w:lang w:val="en-US" w:eastAsia="zh-CN"/>
        </w:rPr>
        <w:t>服务采购</w:t>
      </w:r>
      <w:r>
        <w:rPr>
          <w:rFonts w:hint="default" w:ascii="Times New Roman" w:hAnsi="Times New Roman" w:eastAsia="仿宋_GB2312" w:cs="Times New Roman"/>
          <w:color w:val="auto"/>
          <w:sz w:val="32"/>
          <w:szCs w:val="32"/>
          <w:lang w:val="en-US" w:eastAsia="zh-CN"/>
        </w:rPr>
        <w:t>竞争性磋商。</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一、服务商要求</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rPr>
      </w:pPr>
      <w:bookmarkStart w:id="0" w:name="_Hlk139882701"/>
      <w:r>
        <w:rPr>
          <w:rFonts w:hint="default" w:ascii="Times New Roman" w:hAnsi="Times New Roman" w:eastAsia="仿宋_GB2312" w:cs="Times New Roman"/>
          <w:color w:val="auto"/>
          <w:sz w:val="32"/>
          <w:szCs w:val="32"/>
        </w:rPr>
        <w:t>1</w:t>
      </w:r>
      <w:bookmarkEnd w:id="0"/>
      <w:r>
        <w:rPr>
          <w:rFonts w:hint="default"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rPr>
        <w:t>具有独立承担民事责任的能力；</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w:t>
      </w:r>
      <w:r>
        <w:rPr>
          <w:rFonts w:hint="default"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rPr>
        <w:t>具有良好的商业信誉和健全的财务会计制度；</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3</w:t>
      </w:r>
      <w:r>
        <w:rPr>
          <w:rFonts w:hint="default"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rPr>
        <w:t>具有履行合同所必需的能力</w:t>
      </w:r>
      <w:r>
        <w:rPr>
          <w:rFonts w:hint="default" w:ascii="Times New Roman" w:hAnsi="Times New Roman" w:eastAsia="仿宋_GB2312" w:cs="Times New Roman"/>
          <w:color w:val="auto"/>
          <w:sz w:val="32"/>
          <w:szCs w:val="32"/>
          <w:lang w:eastAsia="zh-CN"/>
        </w:rPr>
        <w:t>、人员</w:t>
      </w:r>
      <w:r>
        <w:rPr>
          <w:rFonts w:hint="default" w:ascii="Times New Roman" w:hAnsi="Times New Roman" w:eastAsia="仿宋_GB2312" w:cs="Times New Roman"/>
          <w:color w:val="auto"/>
          <w:sz w:val="32"/>
          <w:szCs w:val="32"/>
        </w:rPr>
        <w:t>；</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4</w:t>
      </w:r>
      <w:r>
        <w:rPr>
          <w:rFonts w:hint="default" w:ascii="Times New Roman" w:hAnsi="Times New Roman" w:eastAsia="仿宋_GB2312" w:cs="Times New Roman"/>
          <w:color w:val="auto"/>
          <w:sz w:val="32"/>
          <w:szCs w:val="32"/>
          <w:lang w:val="en-US" w:eastAsia="zh-CN"/>
        </w:rPr>
        <w:t>.</w:t>
      </w:r>
      <w:r>
        <w:rPr>
          <w:rFonts w:hint="eastAsia" w:ascii="Times New Roman" w:hAnsi="Times New Roman" w:eastAsia="仿宋_GB2312" w:cs="Times New Roman"/>
          <w:color w:val="auto"/>
          <w:sz w:val="32"/>
          <w:szCs w:val="32"/>
          <w:lang w:val="en-US" w:eastAsia="zh-CN"/>
        </w:rPr>
        <w:t>有</w:t>
      </w:r>
      <w:r>
        <w:rPr>
          <w:rFonts w:hint="default" w:ascii="Times New Roman" w:hAnsi="Times New Roman" w:eastAsia="仿宋_GB2312" w:cs="Times New Roman"/>
          <w:color w:val="auto"/>
          <w:sz w:val="32"/>
          <w:szCs w:val="32"/>
        </w:rPr>
        <w:t>依法缴纳税收和社会保障资金记录良好</w:t>
      </w:r>
      <w:r>
        <w:rPr>
          <w:rFonts w:hint="eastAsia" w:ascii="Times New Roman" w:hAnsi="Times New Roman" w:eastAsia="仿宋_GB2312" w:cs="Times New Roman"/>
          <w:color w:val="auto"/>
          <w:sz w:val="32"/>
          <w:szCs w:val="32"/>
          <w:lang w:val="en-US" w:eastAsia="zh-CN"/>
        </w:rPr>
        <w:t>记录</w:t>
      </w:r>
      <w:r>
        <w:rPr>
          <w:rFonts w:hint="default" w:ascii="Times New Roman" w:hAnsi="Times New Roman" w:eastAsia="仿宋_GB2312" w:cs="Times New Roman"/>
          <w:color w:val="auto"/>
          <w:sz w:val="32"/>
          <w:szCs w:val="32"/>
        </w:rPr>
        <w:t>；</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5</w:t>
      </w:r>
      <w:r>
        <w:rPr>
          <w:rFonts w:hint="default"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rPr>
        <w:t>参加</w:t>
      </w:r>
      <w:r>
        <w:rPr>
          <w:rFonts w:hint="eastAsia" w:ascii="Times New Roman" w:hAnsi="Times New Roman" w:eastAsia="仿宋_GB2312" w:cs="Times New Roman"/>
          <w:color w:val="auto"/>
          <w:sz w:val="32"/>
          <w:szCs w:val="32"/>
          <w:lang w:eastAsia="zh-CN"/>
        </w:rPr>
        <w:t>本次</w:t>
      </w:r>
      <w:r>
        <w:rPr>
          <w:rFonts w:hint="default" w:ascii="Times New Roman" w:hAnsi="Times New Roman" w:eastAsia="仿宋_GB2312" w:cs="Times New Roman"/>
          <w:color w:val="auto"/>
          <w:sz w:val="32"/>
          <w:szCs w:val="32"/>
        </w:rPr>
        <w:t>采购前三年内在经营活动中无违法、严重失信和安全事故记录；</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6</w:t>
      </w:r>
      <w:r>
        <w:rPr>
          <w:rFonts w:hint="default"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rPr>
        <w:t>参加本采购前三年内有类似</w:t>
      </w:r>
      <w:r>
        <w:rPr>
          <w:rFonts w:hint="default" w:ascii="Times New Roman" w:hAnsi="Times New Roman" w:eastAsia="仿宋_GB2312" w:cs="Times New Roman"/>
          <w:color w:val="auto"/>
          <w:sz w:val="32"/>
          <w:szCs w:val="32"/>
          <w:lang w:eastAsia="zh-CN"/>
        </w:rPr>
        <w:t>招商</w:t>
      </w:r>
      <w:r>
        <w:rPr>
          <w:rFonts w:hint="default" w:ascii="Times New Roman" w:hAnsi="Times New Roman" w:eastAsia="仿宋_GB2312" w:cs="Times New Roman"/>
          <w:color w:val="auto"/>
          <w:sz w:val="32"/>
          <w:szCs w:val="32"/>
        </w:rPr>
        <w:t>活动策划、搭建等服务案例。</w:t>
      </w:r>
    </w:p>
    <w:p>
      <w:pPr>
        <w:pStyle w:val="6"/>
        <w:ind w:firstLine="640" w:firstLineChars="200"/>
        <w:rPr>
          <w:rFonts w:hint="default"/>
        </w:rPr>
      </w:pPr>
      <w:r>
        <w:rPr>
          <w:rFonts w:hint="eastAsia" w:ascii="Times New Roman" w:hAnsi="Times New Roman" w:eastAsia="仿宋_GB2312" w:cs="Times New Roman"/>
          <w:color w:val="auto"/>
          <w:sz w:val="32"/>
          <w:szCs w:val="32"/>
          <w:lang w:eastAsia="zh-CN"/>
        </w:rPr>
        <w:t>以上为实质性要求，任一条件不满足按无效响应处理。</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黑体" w:hAnsi="黑体" w:eastAsia="黑体" w:cs="黑体"/>
          <w:color w:val="auto"/>
          <w:sz w:val="32"/>
          <w:szCs w:val="32"/>
          <w:lang w:val="en-US" w:eastAsia="zh-CN"/>
        </w:rPr>
      </w:pPr>
      <w:r>
        <w:rPr>
          <w:rFonts w:hint="default" w:ascii="黑体" w:hAnsi="黑体" w:eastAsia="黑体" w:cs="黑体"/>
          <w:color w:val="auto"/>
          <w:sz w:val="32"/>
          <w:szCs w:val="32"/>
          <w:lang w:val="en-US" w:eastAsia="zh-CN"/>
        </w:rPr>
        <w:t>二、采购内容与服务要求</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本项目包含</w:t>
      </w:r>
      <w:r>
        <w:rPr>
          <w:rFonts w:hint="eastAsia" w:ascii="Times New Roman" w:hAnsi="Times New Roman" w:eastAsia="仿宋_GB2312" w:cs="Times New Roman"/>
          <w:color w:val="auto"/>
          <w:sz w:val="32"/>
          <w:szCs w:val="32"/>
          <w:lang w:val="en-US" w:eastAsia="zh-CN"/>
        </w:rPr>
        <w:t>两</w:t>
      </w:r>
      <w:r>
        <w:rPr>
          <w:rFonts w:hint="default" w:ascii="Times New Roman" w:hAnsi="Times New Roman" w:eastAsia="仿宋_GB2312" w:cs="Times New Roman"/>
          <w:color w:val="auto"/>
          <w:sz w:val="32"/>
          <w:szCs w:val="32"/>
          <w:lang w:val="en-US" w:eastAsia="zh-CN"/>
        </w:rPr>
        <w:t>大板块：苏州展区展台设计搭建服务、苏州农业招商</w:t>
      </w:r>
      <w:r>
        <w:rPr>
          <w:rFonts w:hint="eastAsia" w:ascii="Times New Roman" w:hAnsi="Times New Roman" w:eastAsia="仿宋_GB2312" w:cs="Times New Roman"/>
          <w:color w:val="auto"/>
          <w:sz w:val="32"/>
          <w:szCs w:val="32"/>
          <w:lang w:val="en-US" w:eastAsia="zh-CN"/>
        </w:rPr>
        <w:t>及农产品推介活动</w:t>
      </w:r>
      <w:r>
        <w:rPr>
          <w:rFonts w:hint="default" w:ascii="Times New Roman" w:hAnsi="Times New Roman" w:eastAsia="仿宋_GB2312" w:cs="Times New Roman"/>
          <w:color w:val="auto"/>
          <w:sz w:val="32"/>
          <w:szCs w:val="32"/>
          <w:lang w:val="en-US" w:eastAsia="zh-CN"/>
        </w:rPr>
        <w:t>全程会务服务，</w:t>
      </w:r>
      <w:r>
        <w:rPr>
          <w:rFonts w:hint="default" w:ascii="Times New Roman" w:hAnsi="Times New Roman" w:eastAsia="仿宋_GB2312" w:cs="Times New Roman"/>
          <w:color w:val="auto"/>
          <w:sz w:val="32"/>
          <w:szCs w:val="32"/>
        </w:rPr>
        <w:t>本次系列活动最高总报价不得超过人民币</w:t>
      </w:r>
      <w:r>
        <w:rPr>
          <w:rFonts w:hint="eastAsia" w:ascii="Times New Roman" w:hAnsi="Times New Roman" w:eastAsia="仿宋_GB2312" w:cs="Times New Roman"/>
          <w:color w:val="auto"/>
          <w:sz w:val="32"/>
          <w:szCs w:val="32"/>
          <w:lang w:val="en-US" w:eastAsia="zh-CN"/>
        </w:rPr>
        <w:t>90</w:t>
      </w:r>
      <w:r>
        <w:rPr>
          <w:rFonts w:hint="default" w:ascii="Times New Roman" w:hAnsi="Times New Roman" w:eastAsia="仿宋_GB2312" w:cs="Times New Roman"/>
          <w:color w:val="auto"/>
          <w:sz w:val="32"/>
          <w:szCs w:val="32"/>
        </w:rPr>
        <w:t>0000.00元（</w:t>
      </w:r>
      <w:r>
        <w:rPr>
          <w:rFonts w:hint="eastAsia" w:ascii="Times New Roman" w:hAnsi="Times New Roman" w:eastAsia="仿宋_GB2312" w:cs="Times New Roman"/>
          <w:color w:val="auto"/>
          <w:sz w:val="32"/>
          <w:szCs w:val="32"/>
          <w:lang w:val="en-US" w:eastAsia="zh-CN"/>
        </w:rPr>
        <w:t>玖拾</w:t>
      </w:r>
      <w:r>
        <w:rPr>
          <w:rFonts w:hint="default" w:ascii="Times New Roman" w:hAnsi="Times New Roman" w:eastAsia="仿宋_GB2312" w:cs="Times New Roman"/>
          <w:color w:val="auto"/>
          <w:sz w:val="32"/>
          <w:szCs w:val="32"/>
        </w:rPr>
        <w:t>万元整），报价超过最高限价按否决响应处理。</w:t>
      </w:r>
      <w:r>
        <w:rPr>
          <w:rFonts w:hint="default" w:ascii="Times New Roman" w:hAnsi="Times New Roman" w:eastAsia="仿宋_GB2312" w:cs="Times New Roman"/>
          <w:color w:val="auto"/>
          <w:sz w:val="32"/>
          <w:szCs w:val="32"/>
          <w:lang w:val="en-US" w:eastAsia="zh-CN"/>
        </w:rPr>
        <w:t>报价为总价包干，包含完成全部服务所产生的设计、人工、物料、运输、装卸、仓储、保险、税金等全部费用。</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（一）苏州展区展台设计搭建服务</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展览面积</w:t>
      </w:r>
      <w:r>
        <w:rPr>
          <w:rFonts w:hint="eastAsia" w:ascii="Times New Roman" w:hAnsi="Times New Roman" w:eastAsia="仿宋_GB2312" w:cs="Times New Roman"/>
          <w:color w:val="auto"/>
          <w:sz w:val="32"/>
          <w:szCs w:val="32"/>
          <w:lang w:val="en-US" w:eastAsia="zh-CN"/>
        </w:rPr>
        <w:t>200</w:t>
      </w:r>
      <w:r>
        <w:rPr>
          <w:rFonts w:hint="default" w:ascii="Times New Roman" w:hAnsi="Times New Roman" w:eastAsia="仿宋_GB2312" w:cs="Times New Roman"/>
          <w:color w:val="auto"/>
          <w:sz w:val="32"/>
          <w:szCs w:val="32"/>
          <w:lang w:val="en-US" w:eastAsia="zh-CN"/>
        </w:rPr>
        <w:t>㎡特装展位</w:t>
      </w:r>
      <w:r>
        <w:rPr>
          <w:rFonts w:hint="eastAsia" w:ascii="Times New Roman" w:hAnsi="Times New Roman" w:eastAsia="仿宋_GB2312" w:cs="Times New Roman"/>
          <w:color w:val="auto"/>
          <w:sz w:val="32"/>
          <w:szCs w:val="32"/>
          <w:lang w:val="en-US" w:eastAsia="zh-CN"/>
        </w:rPr>
        <w:t>，包含100</w:t>
      </w:r>
      <w:r>
        <w:rPr>
          <w:rFonts w:hint="default" w:ascii="Times New Roman" w:hAnsi="Times New Roman" w:eastAsia="仿宋_GB2312" w:cs="Times New Roman"/>
          <w:color w:val="auto"/>
          <w:sz w:val="32"/>
          <w:szCs w:val="32"/>
          <w:lang w:val="en-US" w:eastAsia="zh-CN"/>
        </w:rPr>
        <w:t>㎡</w:t>
      </w:r>
      <w:r>
        <w:rPr>
          <w:rFonts w:hint="eastAsia" w:ascii="Times New Roman" w:hAnsi="Times New Roman" w:eastAsia="仿宋_GB2312" w:cs="Times New Roman"/>
          <w:color w:val="auto"/>
          <w:sz w:val="32"/>
          <w:szCs w:val="32"/>
          <w:lang w:val="en-US" w:eastAsia="zh-CN"/>
        </w:rPr>
        <w:t>展示洽谈区、100</w:t>
      </w:r>
      <w:r>
        <w:rPr>
          <w:rFonts w:hint="default" w:ascii="Times New Roman" w:hAnsi="Times New Roman" w:eastAsia="仿宋_GB2312" w:cs="Times New Roman"/>
          <w:color w:val="auto"/>
          <w:sz w:val="32"/>
          <w:szCs w:val="32"/>
          <w:lang w:val="en-US" w:eastAsia="zh-CN"/>
        </w:rPr>
        <w:t>㎡</w:t>
      </w:r>
      <w:r>
        <w:rPr>
          <w:rFonts w:hint="eastAsia" w:ascii="Times New Roman" w:hAnsi="Times New Roman" w:eastAsia="仿宋_GB2312" w:cs="Times New Roman"/>
          <w:color w:val="auto"/>
          <w:sz w:val="32"/>
          <w:szCs w:val="32"/>
          <w:lang w:val="en-US" w:eastAsia="zh-CN"/>
        </w:rPr>
        <w:t>展销品鉴区</w:t>
      </w:r>
      <w:r>
        <w:rPr>
          <w:rFonts w:hint="default" w:ascii="Times New Roman" w:hAnsi="Times New Roman" w:eastAsia="仿宋_GB2312" w:cs="Times New Roman"/>
          <w:color w:val="auto"/>
          <w:sz w:val="32"/>
          <w:szCs w:val="32"/>
          <w:lang w:val="en-US" w:eastAsia="zh-CN"/>
        </w:rPr>
        <w:t>，展会会期</w:t>
      </w:r>
      <w:r>
        <w:rPr>
          <w:rFonts w:hint="eastAsia" w:ascii="Times New Roman" w:hAnsi="Times New Roman" w:eastAsia="仿宋_GB2312" w:cs="Times New Roman"/>
          <w:color w:val="auto"/>
          <w:sz w:val="32"/>
          <w:szCs w:val="32"/>
          <w:lang w:val="en-US" w:eastAsia="zh-CN"/>
        </w:rPr>
        <w:t>预计2027年4月，具体开展时间以最终通知为准</w:t>
      </w:r>
      <w:r>
        <w:rPr>
          <w:rFonts w:hint="default" w:ascii="Times New Roman" w:hAnsi="Times New Roman" w:eastAsia="仿宋_GB2312" w:cs="Times New Roman"/>
          <w:color w:val="auto"/>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1.整体采用开放式通透展台设计，避免封闭隔断。设置综合精品展示区，集中展示苏州现代农业发展成效、农业科技成果及苏州农业区域品牌。</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2.设计风格融合姑苏文化底蕴，互动性强，以实物展品为主，配套模型、图文展板，运用声光电现代展陈手段；合理控制搭建高度，展区内部布局科学。配置主LED大屏，各展示区块按需配置视频播放设备；规范使用发光立体字、灯箱等展陈构件，地面采用阻燃地台或阻燃展毯。</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3.展区配置充足商务洽谈桌椅，效果图与实际搭建落地效果基本保持一致；施工布展不得损坏场馆设施，不得挤占消防通道、影响消防设施使用；负责现场搭建、展期驻场运维保障、展会结束拆除清运复原。</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楷体" w:hAnsi="楷体" w:eastAsia="楷体" w:cs="楷体"/>
          <w:color w:val="auto"/>
          <w:sz w:val="32"/>
          <w:szCs w:val="32"/>
          <w:lang w:val="en-US" w:eastAsia="zh-CN"/>
        </w:rPr>
      </w:pPr>
      <w:r>
        <w:rPr>
          <w:rFonts w:hint="default" w:ascii="楷体" w:hAnsi="楷体" w:eastAsia="楷体" w:cs="楷体"/>
          <w:color w:val="auto"/>
          <w:sz w:val="32"/>
          <w:szCs w:val="32"/>
          <w:lang w:val="en-US" w:eastAsia="zh-CN"/>
        </w:rPr>
        <w:t>（二）苏州农业招商</w:t>
      </w:r>
      <w:r>
        <w:rPr>
          <w:rFonts w:hint="eastAsia" w:ascii="楷体" w:hAnsi="楷体" w:eastAsia="楷体" w:cs="楷体"/>
          <w:color w:val="auto"/>
          <w:sz w:val="32"/>
          <w:szCs w:val="32"/>
          <w:lang w:val="en-US" w:eastAsia="zh-CN"/>
        </w:rPr>
        <w:t>及农产品</w:t>
      </w:r>
      <w:r>
        <w:rPr>
          <w:rFonts w:hint="default" w:ascii="楷体" w:hAnsi="楷体" w:eastAsia="楷体" w:cs="楷体"/>
          <w:color w:val="auto"/>
          <w:sz w:val="32"/>
          <w:szCs w:val="32"/>
          <w:lang w:val="en-US" w:eastAsia="zh-CN"/>
        </w:rPr>
        <w:t>推介活动全程会务服务</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在</w:t>
      </w:r>
      <w:r>
        <w:rPr>
          <w:rFonts w:hint="eastAsia" w:ascii="Times New Roman" w:hAnsi="Times New Roman" w:eastAsia="仿宋_GB2312" w:cs="Times New Roman"/>
          <w:color w:val="auto"/>
          <w:sz w:val="32"/>
          <w:szCs w:val="32"/>
          <w:lang w:val="en-US" w:eastAsia="zh-CN"/>
        </w:rPr>
        <w:t>连云港市</w:t>
      </w:r>
      <w:r>
        <w:rPr>
          <w:rFonts w:hint="default" w:ascii="Times New Roman" w:hAnsi="Times New Roman" w:eastAsia="仿宋_GB2312" w:cs="Times New Roman"/>
          <w:color w:val="auto"/>
          <w:sz w:val="32"/>
          <w:szCs w:val="32"/>
          <w:lang w:val="en-US" w:eastAsia="zh-CN"/>
        </w:rPr>
        <w:t>开展农业招商</w:t>
      </w:r>
      <w:r>
        <w:rPr>
          <w:rFonts w:hint="eastAsia" w:ascii="Times New Roman" w:hAnsi="Times New Roman" w:eastAsia="仿宋_GB2312" w:cs="Times New Roman"/>
          <w:color w:val="auto"/>
          <w:sz w:val="32"/>
          <w:szCs w:val="32"/>
          <w:lang w:val="en-US" w:eastAsia="zh-CN"/>
        </w:rPr>
        <w:t>及农产品</w:t>
      </w:r>
      <w:r>
        <w:rPr>
          <w:rFonts w:hint="default" w:ascii="Times New Roman" w:hAnsi="Times New Roman" w:eastAsia="仿宋_GB2312" w:cs="Times New Roman"/>
          <w:color w:val="auto"/>
          <w:sz w:val="32"/>
          <w:szCs w:val="32"/>
          <w:lang w:val="en-US" w:eastAsia="zh-CN"/>
        </w:rPr>
        <w:t>推介系列会务保障工作。</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1.负责</w:t>
      </w:r>
      <w:r>
        <w:rPr>
          <w:rFonts w:hint="eastAsia" w:ascii="Times New Roman" w:hAnsi="Times New Roman" w:eastAsia="仿宋_GB2312" w:cs="Times New Roman"/>
          <w:color w:val="auto"/>
          <w:sz w:val="32"/>
          <w:szCs w:val="32"/>
          <w:lang w:val="en-US" w:eastAsia="zh-CN"/>
        </w:rPr>
        <w:t>农业</w:t>
      </w:r>
      <w:r>
        <w:rPr>
          <w:rFonts w:hint="default" w:ascii="Times New Roman" w:hAnsi="Times New Roman" w:eastAsia="仿宋_GB2312" w:cs="Times New Roman"/>
          <w:color w:val="auto"/>
          <w:sz w:val="32"/>
          <w:szCs w:val="32"/>
          <w:lang w:val="en-US" w:eastAsia="zh-CN"/>
        </w:rPr>
        <w:t>招商</w:t>
      </w:r>
      <w:r>
        <w:rPr>
          <w:rFonts w:hint="eastAsia" w:ascii="Times New Roman" w:hAnsi="Times New Roman" w:eastAsia="仿宋_GB2312" w:cs="Times New Roman"/>
          <w:color w:val="auto"/>
          <w:sz w:val="32"/>
          <w:szCs w:val="32"/>
          <w:lang w:val="en-US" w:eastAsia="zh-CN"/>
        </w:rPr>
        <w:t>及农产品</w:t>
      </w:r>
      <w:r>
        <w:rPr>
          <w:rFonts w:hint="default" w:ascii="Times New Roman" w:hAnsi="Times New Roman" w:eastAsia="仿宋_GB2312" w:cs="Times New Roman"/>
          <w:color w:val="auto"/>
          <w:sz w:val="32"/>
          <w:szCs w:val="32"/>
          <w:lang w:val="en-US" w:eastAsia="zh-CN"/>
        </w:rPr>
        <w:t>推介</w:t>
      </w:r>
      <w:r>
        <w:rPr>
          <w:rFonts w:hint="eastAsia" w:ascii="Times New Roman" w:hAnsi="Times New Roman" w:eastAsia="仿宋_GB2312" w:cs="Times New Roman"/>
          <w:color w:val="auto"/>
          <w:sz w:val="32"/>
          <w:szCs w:val="32"/>
          <w:lang w:val="en-US" w:eastAsia="zh-CN"/>
        </w:rPr>
        <w:t>活动</w:t>
      </w:r>
      <w:r>
        <w:rPr>
          <w:rFonts w:hint="default" w:ascii="Times New Roman" w:hAnsi="Times New Roman" w:eastAsia="仿宋_GB2312" w:cs="Times New Roman"/>
          <w:color w:val="auto"/>
          <w:sz w:val="32"/>
          <w:szCs w:val="32"/>
          <w:lang w:val="en-US" w:eastAsia="zh-CN"/>
        </w:rPr>
        <w:t>整体策划、会场及设备租赁、会场氛围布置（主题背景板、幕布等物料）、彩排保障；保障宣传片播放、音响话筒、签约台等全套会务设备。</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2.负责代表团实地参观考察车辆租赁、现场秩序维护、简餐饮水保障，协调落实活动场地，</w:t>
      </w:r>
      <w:r>
        <w:rPr>
          <w:rFonts w:hint="eastAsia" w:ascii="Times New Roman" w:hAnsi="Times New Roman" w:eastAsia="仿宋_GB2312" w:cs="Times New Roman"/>
          <w:color w:val="auto"/>
          <w:sz w:val="32"/>
          <w:szCs w:val="32"/>
          <w:lang w:val="en-US" w:eastAsia="zh-CN"/>
        </w:rPr>
        <w:t>并</w:t>
      </w:r>
      <w:r>
        <w:rPr>
          <w:rFonts w:hint="default" w:ascii="Times New Roman" w:hAnsi="Times New Roman" w:eastAsia="仿宋_GB2312" w:cs="Times New Roman"/>
          <w:color w:val="auto"/>
          <w:sz w:val="32"/>
          <w:szCs w:val="32"/>
          <w:lang w:val="en-US" w:eastAsia="zh-CN"/>
        </w:rPr>
        <w:t>承担</w:t>
      </w:r>
      <w:r>
        <w:rPr>
          <w:rFonts w:hint="eastAsia" w:ascii="Times New Roman" w:hAnsi="Times New Roman" w:eastAsia="仿宋_GB2312" w:cs="Times New Roman"/>
          <w:color w:val="auto"/>
          <w:sz w:val="32"/>
          <w:szCs w:val="32"/>
          <w:lang w:val="en-US" w:eastAsia="zh-CN"/>
        </w:rPr>
        <w:t>相应</w:t>
      </w:r>
      <w:r>
        <w:rPr>
          <w:rFonts w:hint="default" w:ascii="Times New Roman" w:hAnsi="Times New Roman" w:eastAsia="仿宋_GB2312" w:cs="Times New Roman"/>
          <w:color w:val="auto"/>
          <w:sz w:val="32"/>
          <w:szCs w:val="32"/>
          <w:lang w:val="en-US" w:eastAsia="zh-CN"/>
        </w:rPr>
        <w:t>费用。</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3.编制活动安全工作预案，为全体参与人员购买人身财产意外伤害保险，落实现场安全保障工作。</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4.配合完成客商对接、企业参展现场保障，做好参展企业、工作人员现场服务管理，保障开幕式巡馆、专场推介、分线路考察等全流程活动有序实施。</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黑体" w:hAnsi="黑体" w:eastAsia="黑体" w:cs="黑体"/>
          <w:color w:val="auto"/>
          <w:sz w:val="32"/>
          <w:szCs w:val="32"/>
          <w:lang w:val="en-US" w:eastAsia="zh-CN"/>
        </w:rPr>
      </w:pPr>
      <w:r>
        <w:rPr>
          <w:rFonts w:hint="default" w:ascii="黑体" w:hAnsi="黑体" w:eastAsia="黑体" w:cs="黑体"/>
          <w:color w:val="auto"/>
          <w:sz w:val="32"/>
          <w:szCs w:val="32"/>
          <w:lang w:val="en-US" w:eastAsia="zh-CN"/>
        </w:rPr>
        <w:t>三、报名及响应文件递交</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1.获取磋商文件时间：2026年</w:t>
      </w:r>
      <w:r>
        <w:rPr>
          <w:rFonts w:hint="eastAsia" w:ascii="Times New Roman" w:hAnsi="Times New Roman" w:eastAsia="仿宋_GB2312" w:cs="Times New Roman"/>
          <w:color w:val="auto"/>
          <w:sz w:val="32"/>
          <w:szCs w:val="32"/>
          <w:lang w:val="en-US" w:eastAsia="zh-CN"/>
        </w:rPr>
        <w:t>11</w:t>
      </w:r>
      <w:r>
        <w:rPr>
          <w:rFonts w:hint="default" w:ascii="Times New Roman" w:hAnsi="Times New Roman" w:eastAsia="仿宋_GB2312" w:cs="Times New Roman"/>
          <w:color w:val="auto"/>
          <w:sz w:val="32"/>
          <w:szCs w:val="32"/>
          <w:lang w:val="en-US" w:eastAsia="zh-CN"/>
        </w:rPr>
        <w:t>月</w:t>
      </w:r>
      <w:r>
        <w:rPr>
          <w:rFonts w:hint="eastAsia" w:ascii="Times New Roman" w:hAnsi="Times New Roman" w:eastAsia="仿宋_GB2312" w:cs="Times New Roman"/>
          <w:color w:val="auto"/>
          <w:sz w:val="32"/>
          <w:szCs w:val="32"/>
          <w:lang w:val="en-US" w:eastAsia="zh-CN"/>
        </w:rPr>
        <w:t>5</w:t>
      </w:r>
      <w:r>
        <w:rPr>
          <w:rFonts w:hint="default" w:ascii="Times New Roman" w:hAnsi="Times New Roman" w:eastAsia="仿宋_GB2312" w:cs="Times New Roman"/>
          <w:color w:val="auto"/>
          <w:sz w:val="32"/>
          <w:szCs w:val="32"/>
          <w:lang w:val="en-US" w:eastAsia="zh-CN"/>
        </w:rPr>
        <w:t>日—2026年1</w:t>
      </w:r>
      <w:r>
        <w:rPr>
          <w:rFonts w:hint="eastAsia" w:ascii="Times New Roman" w:hAnsi="Times New Roman" w:eastAsia="仿宋_GB2312" w:cs="Times New Roman"/>
          <w:color w:val="auto"/>
          <w:sz w:val="32"/>
          <w:szCs w:val="32"/>
          <w:lang w:val="en-US" w:eastAsia="zh-CN"/>
        </w:rPr>
        <w:t>1</w:t>
      </w:r>
      <w:r>
        <w:rPr>
          <w:rFonts w:hint="default" w:ascii="Times New Roman" w:hAnsi="Times New Roman" w:eastAsia="仿宋_GB2312" w:cs="Times New Roman"/>
          <w:color w:val="auto"/>
          <w:sz w:val="32"/>
          <w:szCs w:val="32"/>
          <w:lang w:val="en-US" w:eastAsia="zh-CN"/>
        </w:rPr>
        <w:t>月</w:t>
      </w:r>
      <w:r>
        <w:rPr>
          <w:rFonts w:hint="eastAsia" w:ascii="Times New Roman" w:hAnsi="Times New Roman" w:eastAsia="仿宋_GB2312" w:cs="Times New Roman"/>
          <w:color w:val="auto"/>
          <w:sz w:val="32"/>
          <w:szCs w:val="32"/>
          <w:lang w:val="en-US" w:eastAsia="zh-CN"/>
        </w:rPr>
        <w:t>11</w:t>
      </w:r>
      <w:r>
        <w:rPr>
          <w:rFonts w:hint="default" w:ascii="Times New Roman" w:hAnsi="Times New Roman" w:eastAsia="仿宋_GB2312" w:cs="Times New Roman"/>
          <w:color w:val="auto"/>
          <w:sz w:val="32"/>
          <w:szCs w:val="32"/>
          <w:lang w:val="en-US" w:eastAsia="zh-CN"/>
        </w:rPr>
        <w:t>日（法定节假日除外）</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2.响应文件递交截止时间：2026年1</w:t>
      </w:r>
      <w:r>
        <w:rPr>
          <w:rFonts w:hint="eastAsia" w:ascii="Times New Roman" w:hAnsi="Times New Roman" w:eastAsia="仿宋_GB2312" w:cs="Times New Roman"/>
          <w:color w:val="auto"/>
          <w:sz w:val="32"/>
          <w:szCs w:val="32"/>
          <w:lang w:val="en-US" w:eastAsia="zh-CN"/>
        </w:rPr>
        <w:t>1</w:t>
      </w:r>
      <w:r>
        <w:rPr>
          <w:rFonts w:hint="default" w:ascii="Times New Roman" w:hAnsi="Times New Roman" w:eastAsia="仿宋_GB2312" w:cs="Times New Roman"/>
          <w:color w:val="auto"/>
          <w:sz w:val="32"/>
          <w:szCs w:val="32"/>
          <w:lang w:val="en-US" w:eastAsia="zh-CN"/>
        </w:rPr>
        <w:t>月</w:t>
      </w:r>
      <w:r>
        <w:rPr>
          <w:rFonts w:hint="eastAsia" w:ascii="Times New Roman" w:hAnsi="Times New Roman" w:eastAsia="仿宋_GB2312" w:cs="Times New Roman"/>
          <w:color w:val="auto"/>
          <w:sz w:val="32"/>
          <w:szCs w:val="32"/>
          <w:lang w:val="en-US" w:eastAsia="zh-CN"/>
        </w:rPr>
        <w:t>11</w:t>
      </w:r>
      <w:r>
        <w:rPr>
          <w:rFonts w:hint="default" w:ascii="Times New Roman" w:hAnsi="Times New Roman" w:eastAsia="仿宋_GB2312" w:cs="Times New Roman"/>
          <w:color w:val="auto"/>
          <w:sz w:val="32"/>
          <w:szCs w:val="32"/>
          <w:lang w:val="en-US" w:eastAsia="zh-CN"/>
        </w:rPr>
        <w:t>日17:00（北京时间，逾期不予接收）</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3.递交地点：苏州市东吴北路团结桥巷2号，苏州市农业农村局</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邮编：215128。材料接收人：</w:t>
      </w:r>
      <w:r>
        <w:rPr>
          <w:rFonts w:hint="eastAsia" w:ascii="Times New Roman" w:hAnsi="Times New Roman" w:eastAsia="仿宋_GB2312" w:cs="Times New Roman"/>
          <w:color w:val="auto"/>
          <w:sz w:val="32"/>
          <w:szCs w:val="32"/>
          <w:lang w:val="en-US" w:eastAsia="zh-CN"/>
        </w:rPr>
        <w:t>李建明</w:t>
      </w:r>
      <w:r>
        <w:rPr>
          <w:rFonts w:hint="default" w:ascii="Times New Roman" w:hAnsi="Times New Roman" w:eastAsia="仿宋_GB2312" w:cs="Times New Roman"/>
          <w:color w:val="auto"/>
          <w:sz w:val="32"/>
          <w:szCs w:val="32"/>
          <w:lang w:val="en-US" w:eastAsia="zh-CN"/>
        </w:rPr>
        <w:t>，采购咨询联系电话：65250023，局机关纪委联系电话：65613871。</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4.递交方式：密封邮寄或现场送达，响应文件一式五份，</w:t>
      </w:r>
      <w:r>
        <w:rPr>
          <w:rFonts w:hint="eastAsia" w:ascii="Times New Roman" w:hAnsi="Times New Roman" w:eastAsia="仿宋_GB2312" w:cs="Times New Roman"/>
          <w:color w:val="auto"/>
          <w:sz w:val="32"/>
          <w:szCs w:val="32"/>
          <w:lang w:val="en-US" w:eastAsia="zh-CN"/>
        </w:rPr>
        <w:t>正本一份，副本四份，正副本内容一致，</w:t>
      </w:r>
      <w:r>
        <w:rPr>
          <w:rFonts w:hint="default" w:ascii="Times New Roman" w:hAnsi="Times New Roman" w:eastAsia="仿宋_GB2312" w:cs="Times New Roman"/>
          <w:color w:val="auto"/>
          <w:sz w:val="32"/>
          <w:szCs w:val="32"/>
          <w:lang w:val="en-US" w:eastAsia="zh-CN"/>
        </w:rPr>
        <w:t>装订成册，密封包装，封口处加盖单位公章，密封袋封面标注响应单位全称。所有文件每页须加盖单位公章。</w:t>
      </w:r>
      <w:r>
        <w:rPr>
          <w:rFonts w:hint="eastAsia" w:ascii="Times New Roman" w:hAnsi="Times New Roman" w:eastAsia="仿宋_GB2312" w:cs="Times New Roman"/>
          <w:color w:val="auto"/>
          <w:sz w:val="32"/>
          <w:szCs w:val="32"/>
          <w:lang w:val="en-US" w:eastAsia="zh-CN"/>
        </w:rPr>
        <w:t>逾期送达、未密封、材料缺漏均视为无效响应。</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楷体" w:hAnsi="楷体" w:eastAsia="楷体" w:cs="楷体"/>
          <w:color w:val="auto"/>
          <w:sz w:val="32"/>
          <w:szCs w:val="32"/>
          <w:lang w:val="en-US" w:eastAsia="zh-CN"/>
        </w:rPr>
      </w:pPr>
      <w:r>
        <w:rPr>
          <w:rFonts w:hint="default" w:ascii="楷体" w:hAnsi="楷体" w:eastAsia="楷体" w:cs="楷体"/>
          <w:color w:val="auto"/>
          <w:sz w:val="32"/>
          <w:szCs w:val="32"/>
          <w:lang w:val="en-US" w:eastAsia="zh-CN"/>
        </w:rPr>
        <w:t>（一）响应文件组成</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1.服务商资质材料（营业执照等复印件）；</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2.机构情况简介；</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3.服务承诺书；</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4.响应报价表；</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5.法人有效身份证明复印件；</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6.完整项目实施方案：含展台总平面图、效果图、设计说明、施工安全保障方案；招商活动完整执行方案、安全应急预案、设备材料清单、驻场保障方案；</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7.近三年3个及以上同类展会搭建</w:t>
      </w:r>
      <w:r>
        <w:rPr>
          <w:rFonts w:hint="eastAsia" w:ascii="Times New Roman" w:hAnsi="Times New Roman" w:eastAsia="仿宋_GB2312" w:cs="Times New Roman"/>
          <w:color w:val="auto"/>
          <w:sz w:val="32"/>
          <w:szCs w:val="32"/>
          <w:lang w:val="en-US" w:eastAsia="zh-CN"/>
        </w:rPr>
        <w:t>或</w:t>
      </w:r>
      <w:r>
        <w:rPr>
          <w:rFonts w:hint="default" w:ascii="Times New Roman" w:hAnsi="Times New Roman" w:eastAsia="仿宋_GB2312" w:cs="Times New Roman"/>
          <w:color w:val="auto"/>
          <w:sz w:val="32"/>
          <w:szCs w:val="32"/>
          <w:lang w:val="en-US" w:eastAsia="zh-CN"/>
        </w:rPr>
        <w:t>招商</w:t>
      </w:r>
      <w:r>
        <w:rPr>
          <w:rFonts w:hint="eastAsia" w:ascii="Times New Roman" w:hAnsi="Times New Roman" w:eastAsia="仿宋_GB2312" w:cs="Times New Roman"/>
          <w:color w:val="auto"/>
          <w:sz w:val="32"/>
          <w:szCs w:val="32"/>
          <w:lang w:val="en-US" w:eastAsia="zh-CN"/>
        </w:rPr>
        <w:t>推介</w:t>
      </w:r>
      <w:r>
        <w:rPr>
          <w:rFonts w:hint="default" w:ascii="Times New Roman" w:hAnsi="Times New Roman" w:eastAsia="仿宋_GB2312" w:cs="Times New Roman"/>
          <w:color w:val="auto"/>
          <w:sz w:val="32"/>
          <w:szCs w:val="32"/>
          <w:lang w:val="en-US" w:eastAsia="zh-CN"/>
        </w:rPr>
        <w:t>活动业绩证明（完整合同复印件）；</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8.近三年经营活动无重大违法、失信、安全事故记录承诺书；</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9.活动安全承诺书；</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10.其他可证明服务商综合实力的佐证材料。</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黑体" w:hAnsi="黑体" w:eastAsia="黑体" w:cs="黑体"/>
          <w:color w:val="auto"/>
          <w:sz w:val="32"/>
          <w:szCs w:val="32"/>
          <w:lang w:val="en-US" w:eastAsia="zh-CN"/>
        </w:rPr>
      </w:pPr>
      <w:r>
        <w:rPr>
          <w:rFonts w:hint="default" w:ascii="黑体" w:hAnsi="黑体" w:eastAsia="黑体" w:cs="黑体"/>
          <w:color w:val="auto"/>
          <w:sz w:val="32"/>
          <w:szCs w:val="32"/>
          <w:lang w:val="en-US" w:eastAsia="zh-CN"/>
        </w:rPr>
        <w:t>四、评审程序</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我局组织专家开展综合评分法评审，在最大限度满足采购文件实质性要求前提下，按服务商报价、单位情况、服务方案、实施案例、服务能力五项各占20%权重开展综合评审，综合得分最高的</w:t>
      </w:r>
      <w:r>
        <w:rPr>
          <w:rFonts w:hint="eastAsia" w:ascii="Times New Roman" w:hAnsi="Times New Roman" w:eastAsia="仿宋_GB2312" w:cs="Times New Roman"/>
          <w:color w:val="auto"/>
          <w:sz w:val="32"/>
          <w:szCs w:val="32"/>
          <w:lang w:val="en-US" w:eastAsia="zh-CN"/>
        </w:rPr>
        <w:t>服务</w:t>
      </w:r>
      <w:r>
        <w:rPr>
          <w:rFonts w:hint="default" w:ascii="Times New Roman" w:hAnsi="Times New Roman" w:eastAsia="仿宋_GB2312" w:cs="Times New Roman"/>
          <w:color w:val="auto"/>
          <w:sz w:val="32"/>
          <w:szCs w:val="32"/>
          <w:lang w:val="en-US" w:eastAsia="zh-CN"/>
        </w:rPr>
        <w:t>商确定为本项目成交</w:t>
      </w:r>
      <w:r>
        <w:rPr>
          <w:rFonts w:hint="eastAsia" w:ascii="Times New Roman" w:hAnsi="Times New Roman" w:eastAsia="仿宋_GB2312" w:cs="Times New Roman"/>
          <w:color w:val="auto"/>
          <w:sz w:val="32"/>
          <w:szCs w:val="32"/>
          <w:lang w:val="en-US" w:eastAsia="zh-CN"/>
        </w:rPr>
        <w:t>服务</w:t>
      </w:r>
      <w:r>
        <w:rPr>
          <w:rFonts w:hint="default" w:ascii="Times New Roman" w:hAnsi="Times New Roman" w:eastAsia="仿宋_GB2312" w:cs="Times New Roman"/>
          <w:color w:val="auto"/>
          <w:sz w:val="32"/>
          <w:szCs w:val="32"/>
          <w:lang w:val="en-US" w:eastAsia="zh-CN"/>
        </w:rPr>
        <w:t>商。</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出现以下情形予以否决响应或终止项目采购：</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1.响应报价超过预算最高限价；</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2.经评审，实质性响应采购文件的响应单位不足三家；</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3.响应文件不满足采购文件实质性要求。</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黑体" w:hAnsi="黑体" w:eastAsia="黑体" w:cs="黑体"/>
          <w:color w:val="auto"/>
          <w:sz w:val="32"/>
          <w:szCs w:val="32"/>
          <w:lang w:val="en-US" w:eastAsia="zh-CN"/>
        </w:rPr>
      </w:pPr>
      <w:r>
        <w:rPr>
          <w:rFonts w:hint="default" w:ascii="黑体" w:hAnsi="黑体" w:eastAsia="黑体" w:cs="黑体"/>
          <w:color w:val="auto"/>
          <w:sz w:val="32"/>
          <w:szCs w:val="32"/>
          <w:lang w:val="en-US" w:eastAsia="zh-CN"/>
        </w:rPr>
        <w:t>五、合同主要条款</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1.本项目报价为全费用包干，包含完成本项目全部工作的一切成本、税费、保险、运输等全部费用。因</w:t>
      </w:r>
      <w:r>
        <w:rPr>
          <w:rFonts w:hint="eastAsia" w:ascii="Times New Roman" w:hAnsi="Times New Roman" w:eastAsia="仿宋_GB2312" w:cs="Times New Roman"/>
          <w:color w:val="auto"/>
          <w:sz w:val="32"/>
          <w:szCs w:val="32"/>
          <w:lang w:val="en-US" w:eastAsia="zh-CN"/>
        </w:rPr>
        <w:t>响应</w:t>
      </w:r>
      <w:r>
        <w:rPr>
          <w:rFonts w:hint="default" w:ascii="Times New Roman" w:hAnsi="Times New Roman" w:eastAsia="仿宋_GB2312" w:cs="Times New Roman"/>
          <w:color w:val="auto"/>
          <w:sz w:val="32"/>
          <w:szCs w:val="32"/>
          <w:lang w:val="en-US" w:eastAsia="zh-CN"/>
        </w:rPr>
        <w:t>单位责任造成经济损失，由服务商按实际损失予以赔偿。</w:t>
      </w:r>
    </w:p>
    <w:p>
      <w:pPr>
        <w:pStyle w:val="6"/>
        <w:keepNext w:val="0"/>
        <w:keepLines w:val="0"/>
        <w:pageBreakBefore w:val="0"/>
        <w:widowControl w:val="0"/>
        <w:kinsoku/>
        <w:wordWrap/>
        <w:overflowPunct/>
        <w:topLinePunct w:val="0"/>
        <w:autoSpaceDE/>
        <w:autoSpaceDN/>
        <w:bidi w:val="0"/>
        <w:adjustRightInd/>
        <w:snapToGrid/>
        <w:spacing w:after="0" w:line="520" w:lineRule="exact"/>
        <w:textAlignment w:val="auto"/>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rPr>
        <w:t>履约承诺书：成交</w:t>
      </w:r>
      <w:r>
        <w:rPr>
          <w:rFonts w:hint="eastAsia" w:ascii="Times New Roman" w:hAnsi="Times New Roman" w:eastAsia="仿宋_GB2312" w:cs="Times New Roman"/>
          <w:color w:val="auto"/>
          <w:sz w:val="32"/>
          <w:szCs w:val="32"/>
          <w:lang w:val="en-US" w:eastAsia="zh-CN"/>
        </w:rPr>
        <w:t>服务</w:t>
      </w:r>
      <w:r>
        <w:rPr>
          <w:rFonts w:hint="default" w:ascii="Times New Roman" w:hAnsi="Times New Roman" w:eastAsia="仿宋_GB2312" w:cs="Times New Roman"/>
          <w:color w:val="auto"/>
          <w:sz w:val="32"/>
          <w:szCs w:val="32"/>
        </w:rPr>
        <w:t>商签署专项履约承诺书，承诺严格按照磋商文件及合同要求完成次年农洽会全部参展、招商推介服务，明确预付款专款专用于本项目前期筹备，不得挪作他用。</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3.付款方式：合同签订生效后，预付合同款项的50%；成交供应商提交的设计方案、活动实施方案经审核确定后，支付合同款项的4</w:t>
      </w:r>
      <w:r>
        <w:rPr>
          <w:rFonts w:hint="eastAsia" w:ascii="Times New Roman" w:hAnsi="Times New Roman" w:eastAsia="仿宋_GB2312" w:cs="Times New Roman"/>
          <w:color w:val="auto"/>
          <w:sz w:val="32"/>
          <w:szCs w:val="32"/>
          <w:lang w:val="en-US" w:eastAsia="zh-CN"/>
        </w:rPr>
        <w:t>5</w:t>
      </w:r>
      <w:r>
        <w:rPr>
          <w:rFonts w:hint="default" w:ascii="Times New Roman" w:hAnsi="Times New Roman" w:eastAsia="仿宋_GB2312" w:cs="Times New Roman"/>
          <w:color w:val="auto"/>
          <w:sz w:val="32"/>
          <w:szCs w:val="32"/>
          <w:lang w:val="en-US" w:eastAsia="zh-CN"/>
        </w:rPr>
        <w:t>%；全部服务完成并验收合格后，支付剩余</w:t>
      </w:r>
      <w:r>
        <w:rPr>
          <w:rFonts w:hint="eastAsia" w:ascii="Times New Roman" w:hAnsi="Times New Roman" w:eastAsia="仿宋_GB2312" w:cs="Times New Roman"/>
          <w:color w:val="auto"/>
          <w:sz w:val="32"/>
          <w:szCs w:val="32"/>
          <w:lang w:val="en-US" w:eastAsia="zh-CN"/>
        </w:rPr>
        <w:t>5</w:t>
      </w:r>
      <w:r>
        <w:rPr>
          <w:rFonts w:hint="default" w:ascii="Times New Roman" w:hAnsi="Times New Roman" w:eastAsia="仿宋_GB2312" w:cs="Times New Roman"/>
          <w:color w:val="auto"/>
          <w:sz w:val="32"/>
          <w:szCs w:val="32"/>
          <w:lang w:val="en-US" w:eastAsia="zh-CN"/>
        </w:rPr>
        <w:t>%尾款</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付款方</w:t>
      </w:r>
      <w:r>
        <w:rPr>
          <w:rFonts w:hint="eastAsia" w:ascii="Times New Roman" w:hAnsi="Times New Roman" w:eastAsia="仿宋_GB2312" w:cs="Times New Roman"/>
          <w:color w:val="auto"/>
          <w:sz w:val="32"/>
          <w:szCs w:val="32"/>
          <w:lang w:val="en-US" w:eastAsia="zh-CN"/>
        </w:rPr>
        <w:t>式为</w:t>
      </w:r>
      <w:r>
        <w:rPr>
          <w:rFonts w:hint="default" w:ascii="Times New Roman" w:hAnsi="Times New Roman" w:eastAsia="仿宋_GB2312" w:cs="Times New Roman"/>
          <w:color w:val="auto"/>
          <w:sz w:val="32"/>
          <w:szCs w:val="32"/>
        </w:rPr>
        <w:t>银行转账</w:t>
      </w:r>
      <w:r>
        <w:rPr>
          <w:rFonts w:hint="default" w:ascii="Times New Roman" w:hAnsi="Times New Roman" w:eastAsia="仿宋_GB2312" w:cs="Times New Roman"/>
          <w:color w:val="auto"/>
          <w:sz w:val="32"/>
          <w:szCs w:val="32"/>
          <w:lang w:eastAsia="zh-CN"/>
        </w:rPr>
        <w:t>（数字人民币）</w:t>
      </w:r>
      <w:r>
        <w:rPr>
          <w:rFonts w:hint="default" w:ascii="Times New Roman" w:hAnsi="Times New Roman" w:eastAsia="仿宋_GB2312" w:cs="Times New Roman"/>
          <w:color w:val="auto"/>
          <w:sz w:val="32"/>
          <w:szCs w:val="32"/>
        </w:rPr>
        <w:t>。</w:t>
      </w:r>
      <w:bookmarkStart w:id="1" w:name="_GoBack"/>
      <w:bookmarkEnd w:id="1"/>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4</w:t>
      </w:r>
      <w:r>
        <w:rPr>
          <w:rFonts w:hint="default" w:ascii="Times New Roman" w:hAnsi="Times New Roman" w:eastAsia="仿宋_GB2312" w:cs="Times New Roman"/>
          <w:color w:val="auto"/>
          <w:sz w:val="32"/>
          <w:szCs w:val="32"/>
          <w:lang w:val="en-US" w:eastAsia="zh-CN"/>
        </w:rPr>
        <w:t>.服务标准：严格按照国家会展行业规范、本次采购文件全部要求执行。</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5</w:t>
      </w:r>
      <w:r>
        <w:rPr>
          <w:rFonts w:hint="default" w:ascii="Times New Roman" w:hAnsi="Times New Roman" w:eastAsia="仿宋_GB2312" w:cs="Times New Roman"/>
          <w:color w:val="auto"/>
          <w:sz w:val="32"/>
          <w:szCs w:val="32"/>
          <w:lang w:val="en-US" w:eastAsia="zh-CN"/>
        </w:rPr>
        <w:t>.服务商须逐条响应采购全部要求，不响应条款须单独列明，未列明即视为全部响应。</w:t>
      </w:r>
    </w:p>
    <w:p>
      <w:pPr>
        <w:pStyle w:val="6"/>
        <w:keepNext w:val="0"/>
        <w:keepLines w:val="0"/>
        <w:pageBreakBefore w:val="0"/>
        <w:widowControl w:val="0"/>
        <w:kinsoku/>
        <w:wordWrap/>
        <w:overflowPunct/>
        <w:topLinePunct w:val="0"/>
        <w:autoSpaceDE/>
        <w:autoSpaceDN/>
        <w:bidi w:val="0"/>
        <w:adjustRightInd/>
        <w:snapToGrid/>
        <w:spacing w:after="0" w:line="520" w:lineRule="exact"/>
        <w:textAlignment w:val="auto"/>
        <w:rPr>
          <w:rFonts w:hint="default"/>
          <w:color w:val="auto"/>
          <w:lang w:val="en-US" w:eastAsia="zh-CN"/>
        </w:rPr>
      </w:pPr>
    </w:p>
    <w:p>
      <w:pPr>
        <w:pStyle w:val="8"/>
        <w:rPr>
          <w:rFonts w:hint="default"/>
          <w:lang w:val="en-US" w:eastAsia="zh-CN"/>
        </w:rPr>
      </w:pPr>
    </w:p>
    <w:p>
      <w:pPr>
        <w:keepNext w:val="0"/>
        <w:keepLines w:val="0"/>
        <w:pageBreakBefore w:val="0"/>
        <w:widowControl w:val="0"/>
        <w:kinsoku/>
        <w:wordWrap/>
        <w:overflowPunct/>
        <w:topLinePunct w:val="0"/>
        <w:autoSpaceDE/>
        <w:autoSpaceDN/>
        <w:bidi w:val="0"/>
        <w:adjustRightInd/>
        <w:snapToGrid/>
        <w:spacing w:line="520" w:lineRule="exact"/>
        <w:ind w:firstLine="5120" w:firstLineChars="1600"/>
        <w:textAlignment w:val="auto"/>
        <w:rPr>
          <w:rFonts w:hint="default"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lang w:val="en-US" w:eastAsia="zh-CN"/>
        </w:rPr>
        <w:t>苏</w:t>
      </w:r>
      <w:r>
        <w:rPr>
          <w:rFonts w:hint="default" w:ascii="Times New Roman" w:hAnsi="Times New Roman" w:eastAsia="仿宋_GB2312" w:cs="Times New Roman"/>
          <w:color w:val="auto"/>
          <w:sz w:val="32"/>
          <w:szCs w:val="32"/>
        </w:rPr>
        <w:t>州市农业农村局</w:t>
      </w:r>
    </w:p>
    <w:p>
      <w:pPr>
        <w:keepNext w:val="0"/>
        <w:keepLines w:val="0"/>
        <w:pageBreakBefore w:val="0"/>
        <w:widowControl w:val="0"/>
        <w:kinsoku/>
        <w:wordWrap/>
        <w:overflowPunct/>
        <w:topLinePunct w:val="0"/>
        <w:autoSpaceDE/>
        <w:autoSpaceDN/>
        <w:bidi w:val="0"/>
        <w:adjustRightInd/>
        <w:snapToGrid/>
        <w:spacing w:line="520" w:lineRule="exact"/>
        <w:ind w:firstLine="5120" w:firstLineChars="1600"/>
        <w:textAlignment w:val="auto"/>
        <w:rPr>
          <w:rFonts w:hint="default"/>
          <w:color w:val="auto"/>
        </w:rPr>
      </w:pPr>
      <w:r>
        <w:rPr>
          <w:rFonts w:hint="default" w:ascii="Times New Roman" w:hAnsi="Times New Roman" w:eastAsia="仿宋_GB2312" w:cs="Times New Roman"/>
          <w:color w:val="auto"/>
          <w:sz w:val="32"/>
          <w:szCs w:val="32"/>
        </w:rPr>
        <w:t>202</w:t>
      </w:r>
      <w:r>
        <w:rPr>
          <w:rFonts w:hint="default" w:ascii="Times New Roman" w:hAnsi="Times New Roman" w:eastAsia="仿宋_GB2312" w:cs="Times New Roman"/>
          <w:color w:val="auto"/>
          <w:sz w:val="32"/>
          <w:szCs w:val="32"/>
          <w:lang w:val="en-US" w:eastAsia="zh-CN"/>
        </w:rPr>
        <w:t>6</w:t>
      </w:r>
      <w:r>
        <w:rPr>
          <w:rFonts w:hint="default" w:ascii="Times New Roman" w:hAnsi="Times New Roman" w:eastAsia="仿宋_GB2312" w:cs="Times New Roman"/>
          <w:color w:val="auto"/>
          <w:sz w:val="32"/>
          <w:szCs w:val="32"/>
        </w:rPr>
        <w:t>年</w:t>
      </w:r>
      <w:r>
        <w:rPr>
          <w:rFonts w:hint="eastAsia" w:ascii="Times New Roman" w:hAnsi="Times New Roman" w:eastAsia="仿宋_GB2312" w:cs="Times New Roman"/>
          <w:color w:val="auto"/>
          <w:sz w:val="32"/>
          <w:szCs w:val="32"/>
          <w:lang w:val="en-US" w:eastAsia="zh-CN"/>
        </w:rPr>
        <w:t>11</w:t>
      </w:r>
      <w:r>
        <w:rPr>
          <w:rFonts w:hint="default" w:ascii="Times New Roman" w:hAnsi="Times New Roman" w:eastAsia="仿宋_GB2312" w:cs="Times New Roman"/>
          <w:color w:val="auto"/>
          <w:sz w:val="32"/>
          <w:szCs w:val="32"/>
        </w:rPr>
        <w:t>月</w:t>
      </w:r>
      <w:r>
        <w:rPr>
          <w:rFonts w:hint="eastAsia" w:ascii="Times New Roman" w:hAnsi="Times New Roman" w:eastAsia="仿宋_GB2312" w:cs="Times New Roman"/>
          <w:color w:val="auto"/>
          <w:sz w:val="32"/>
          <w:szCs w:val="32"/>
          <w:lang w:val="en-US" w:eastAsia="zh-CN"/>
        </w:rPr>
        <w:t>5</w:t>
      </w:r>
      <w:r>
        <w:rPr>
          <w:rFonts w:hint="default" w:ascii="Times New Roman" w:hAnsi="Times New Roman" w:eastAsia="仿宋_GB2312" w:cs="Times New Roman"/>
          <w:color w:val="auto"/>
          <w:sz w:val="32"/>
          <w:szCs w:val="32"/>
        </w:rPr>
        <w:t>日</w:t>
      </w:r>
    </w:p>
    <w:sectPr>
      <w:footerReference r:id="rId3" w:type="default"/>
      <w:pgSz w:w="11906" w:h="16838"/>
      <w:pgMar w:top="1984" w:right="1474" w:bottom="2098"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00007A87" w:usb1="80000000" w:usb2="00000008" w:usb3="00000000" w:csb0="400001FF" w:csb1="FFFF0000"/>
  </w:font>
  <w:font w:name="宋体">
    <w:panose1 w:val="02010600030101010101"/>
    <w:charset w:val="86"/>
    <w:family w:val="auto"/>
    <w:pitch w:val="default"/>
    <w:sig w:usb0="00000003" w:usb1="288F0000" w:usb2="00000006" w:usb3="00000000" w:csb0="00040001" w:csb1="00000000"/>
  </w:font>
  <w:font w:name="Wingdings">
    <w:altName w:val="汉仪中等线B5"/>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汉仪中等线B5"/>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
    <w:panose1 w:val="02010609060101010101"/>
    <w:charset w:val="86"/>
    <w:family w:val="auto"/>
    <w:pitch w:val="default"/>
    <w:sig w:usb0="800002BF" w:usb1="38CF7CFA" w:usb2="00000016" w:usb3="00000000" w:csb0="00040001"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8420" cy="139700"/>
              <wp:effectExtent l="0" t="0" r="0" b="0"/>
              <wp:wrapNone/>
              <wp:docPr id="1940690373" name="Text Box 1025"/>
              <wp:cNvGraphicFramePr/>
              <a:graphic xmlns:a="http://schemas.openxmlformats.org/drawingml/2006/main">
                <a:graphicData uri="http://schemas.microsoft.com/office/word/2010/wordprocessingShape">
                  <wps:wsp>
                    <wps:cNvSpPr txBox="1">
                      <a:spLocks noChangeArrowheads="1"/>
                    </wps:cNvSpPr>
                    <wps:spPr bwMode="auto">
                      <a:xfrm>
                        <a:off x="0" y="0"/>
                        <a:ext cx="58420" cy="139700"/>
                      </a:xfrm>
                      <a:prstGeom prst="rect">
                        <a:avLst/>
                      </a:prstGeom>
                      <a:noFill/>
                      <a:ln>
                        <a:noFill/>
                      </a:ln>
                    </wps:spPr>
                    <wps:txbx>
                      <w:txbxContent>
                        <w:p>
                          <w:pPr>
                            <w:pStyle w:val="2"/>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1</w:t>
                          </w:r>
                          <w:r>
                            <w:rPr>
                              <w:rFonts w:ascii="Times New Roman" w:hAnsi="Times New Roman" w:cs="Times New Roman"/>
                              <w:sz w:val="28"/>
                              <w:szCs w:val="28"/>
                            </w:rPr>
                            <w:fldChar w:fldCharType="end"/>
                          </w:r>
                          <w:r>
                            <w:rPr>
                              <w:rFonts w:ascii="Times New Roman" w:hAnsi="Times New Roman" w:cs="Times New Roman"/>
                              <w:sz w:val="28"/>
                              <w:szCs w:val="28"/>
                            </w:rPr>
                            <w:t xml:space="preserve"> —</w:t>
                          </w:r>
                        </w:p>
                      </w:txbxContent>
                    </wps:txbx>
                    <wps:bodyPr rot="0" vert="horz" wrap="none" lIns="0" tIns="0" rIns="0" bIns="0" anchor="t" anchorCtr="0" upright="1">
                      <a:spAutoFit/>
                    </wps:bodyPr>
                  </wps:wsp>
                </a:graphicData>
              </a:graphic>
            </wp:anchor>
          </w:drawing>
        </mc:Choice>
        <mc:Fallback>
          <w:pict>
            <v:shape id="Text Box 1025" o:spid="_x0000_s1026" o:spt="202" type="#_x0000_t202" style="position:absolute;left:0pt;margin-top:0pt;height:11pt;width:4.6pt;mso-position-horizontal:center;mso-position-horizontal-relative:margin;mso-wrap-style:none;z-index:251659264;mso-width-relative:page;mso-height-relative:page;" filled="f" stroked="f" coordsize="21600,21600" o:gfxdata="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">
              <v:fill on="f" focussize="0,0"/>
              <v:stroke on="f"/>
              <v:imagedata o:title=""/>
              <o:lock v:ext="edit" aspectratio="f"/>
              <v:textbox inset="0mm,0mm,0mm,0mm" style="mso-fit-shape-to-text:t;">
                <w:txbxContent>
                  <w:p>
                    <w:pPr>
                      <w:pStyle w:val="2"/>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1</w:t>
                    </w:r>
                    <w:r>
                      <w:rPr>
                        <w:rFonts w:ascii="Times New Roman" w:hAnsi="Times New Roman" w:cs="Times New Roman"/>
                        <w:sz w:val="28"/>
                        <w:szCs w:val="28"/>
                      </w:rPr>
                      <w:fldChar w:fldCharType="end"/>
                    </w:r>
                    <w:r>
                      <w:rPr>
                        <w:rFonts w:ascii="Times New Roman" w:hAnsi="Times New Roman" w:cs="Times New Roman"/>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CC82850"/>
    <w:rsid w:val="0263696B"/>
    <w:rsid w:val="0A087C26"/>
    <w:rsid w:val="0B566140"/>
    <w:rsid w:val="10F058D7"/>
    <w:rsid w:val="14345931"/>
    <w:rsid w:val="1B7F1750"/>
    <w:rsid w:val="2183613D"/>
    <w:rsid w:val="27EE7A2E"/>
    <w:rsid w:val="2A304CB9"/>
    <w:rsid w:val="2BDE4B8B"/>
    <w:rsid w:val="31304BB2"/>
    <w:rsid w:val="316A26E5"/>
    <w:rsid w:val="31EDF9F8"/>
    <w:rsid w:val="350B6A9E"/>
    <w:rsid w:val="3C612A9D"/>
    <w:rsid w:val="3C7242FA"/>
    <w:rsid w:val="428916B8"/>
    <w:rsid w:val="45B9640E"/>
    <w:rsid w:val="47072E5D"/>
    <w:rsid w:val="479559FD"/>
    <w:rsid w:val="4CC82850"/>
    <w:rsid w:val="4DA12C45"/>
    <w:rsid w:val="531C2833"/>
    <w:rsid w:val="53522E62"/>
    <w:rsid w:val="5DF76AED"/>
    <w:rsid w:val="5F4D5903"/>
    <w:rsid w:val="5FBBFDD7"/>
    <w:rsid w:val="627613C6"/>
    <w:rsid w:val="62DAB1B7"/>
    <w:rsid w:val="63645C3A"/>
    <w:rsid w:val="666D16D4"/>
    <w:rsid w:val="6762688C"/>
    <w:rsid w:val="69515D23"/>
    <w:rsid w:val="69B31BED"/>
    <w:rsid w:val="6C675FE2"/>
    <w:rsid w:val="6F7E4E45"/>
    <w:rsid w:val="6F9D2D2F"/>
    <w:rsid w:val="74FB2CA5"/>
    <w:rsid w:val="752F3D2B"/>
    <w:rsid w:val="78F63321"/>
    <w:rsid w:val="78FE622B"/>
    <w:rsid w:val="7BF71626"/>
    <w:rsid w:val="7C3B10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 w:type="paragraph" w:styleId="3">
    <w:name w:val="Body Text Indent 3"/>
    <w:basedOn w:val="1"/>
    <w:qFormat/>
    <w:uiPriority w:val="0"/>
    <w:pPr>
      <w:spacing w:line="440" w:lineRule="exact"/>
      <w:ind w:firstLine="480" w:firstLineChars="200"/>
      <w:jc w:val="left"/>
    </w:pPr>
    <w:rPr>
      <w:rFonts w:ascii="Times New Roman" w:hAnsi="Times New Roman" w:eastAsia="宋体" w:cs="Times New Roman"/>
      <w:sz w:val="24"/>
      <w:szCs w:val="24"/>
    </w:rPr>
  </w:style>
  <w:style w:type="paragraph" w:customStyle="1" w:styleId="6">
    <w:name w:val="BodyText1I2"/>
    <w:basedOn w:val="7"/>
    <w:next w:val="8"/>
    <w:qFormat/>
    <w:uiPriority w:val="0"/>
    <w:pPr>
      <w:ind w:left="0" w:leftChars="0" w:firstLine="420"/>
    </w:pPr>
    <w:rPr>
      <w:rFonts w:ascii="仿宋_GB2312" w:hAnsi="仿宋_GB2312"/>
      <w:sz w:val="28"/>
      <w:szCs w:val="28"/>
    </w:rPr>
  </w:style>
  <w:style w:type="paragraph" w:customStyle="1" w:styleId="7">
    <w:name w:val="BodyTextIndent"/>
    <w:basedOn w:val="1"/>
    <w:qFormat/>
    <w:uiPriority w:val="0"/>
    <w:pPr>
      <w:spacing w:after="120"/>
      <w:ind w:left="420" w:leftChars="200"/>
    </w:pPr>
  </w:style>
  <w:style w:type="paragraph" w:customStyle="1" w:styleId="8">
    <w:name w:val="BodyText1I"/>
    <w:basedOn w:val="9"/>
    <w:qFormat/>
    <w:uiPriority w:val="0"/>
    <w:pPr>
      <w:spacing w:line="480" w:lineRule="exact"/>
      <w:ind w:firstLine="420" w:firstLineChars="100"/>
    </w:pPr>
  </w:style>
  <w:style w:type="paragraph" w:customStyle="1" w:styleId="9">
    <w:name w:val="BodyText"/>
    <w:basedOn w:val="1"/>
    <w:qFormat/>
    <w:uiPriority w:val="0"/>
    <w:pPr>
      <w:spacing w:after="120"/>
    </w:pPr>
  </w:style>
  <w:style w:type="paragraph" w:styleId="10">
    <w:name w:val="List Paragraph"/>
    <w:basedOn w:val="1"/>
    <w:qFormat/>
    <w:uiPriority w:val="34"/>
    <w:pPr>
      <w:ind w:firstLine="420" w:firstLineChars="200"/>
    </w:pPr>
  </w:style>
  <w:style w:type="paragraph" w:customStyle="1" w:styleId="11">
    <w:name w:val="纯文本1"/>
    <w:basedOn w:val="1"/>
    <w:qFormat/>
    <w:uiPriority w:val="0"/>
    <w:pPr>
      <w:adjustRightInd w:val="0"/>
      <w:textAlignment w:val="baseline"/>
    </w:pPr>
    <w:rPr>
      <w:rFonts w:ascii="宋体" w:hAnsi="Courier New" w:eastAsia="楷体_GB2312"/>
      <w:sz w:val="28"/>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487</Words>
  <Characters>501</Characters>
  <Lines>0</Lines>
  <Paragraphs>0</Paragraphs>
  <TotalTime>3</TotalTime>
  <ScaleCrop>false</ScaleCrop>
  <LinksUpToDate>false</LinksUpToDate>
  <CharactersWithSpaces>501</CharactersWithSpaces>
  <Application>WPS Office_11.8.2.11625_F1E327BC-269C-435d-A152-05C5408002CA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2026-03-22T00:35:00Z</dcterms:created>
  <dc:creator>云淡风轻</dc:creator>
  <cp:lastModifiedBy>sz</cp:lastModifiedBy>
  <dcterms:modified xsi:type="dcterms:W3CDTF">2026-11-05T16:18:19Z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2052-11.8.2.11625</vt:lpwstr>
  </property>
  <property fmtid="{D5CDD505-2E9C-101B-9397-08002B2CF9AE}" pid="3" name="ICV">
    <vt:lpwstr>44BF4CD150D74752BDC3BD3FE5CA3633_13</vt:lpwstr>
  </property>
  <property fmtid="{D5CDD505-2E9C-101B-9397-08002B2CF9AE}" pid="4" name="KSOTemplateDocerSaveRecord">
    <vt:lpwstr>eyJoZGlkIjoiNTFmNjJkZWFmZmRkYjFlMTUwYmNhODlmYTg3NDc5YjQiLCJ1c2VySWQiOiIyNDk1NzI1NTMifQ==</vt:lpwstr>
  </property>
</Properties>
</file>